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C22C1" w14:textId="77777777" w:rsidR="00D95B85" w:rsidRPr="00A13505" w:rsidRDefault="00892072" w:rsidP="003D55AC">
      <w:pPr>
        <w:spacing w:after="0" w:line="240" w:lineRule="auto"/>
        <w:jc w:val="center"/>
        <w:rPr>
          <w:b/>
          <w:sz w:val="28"/>
        </w:rPr>
      </w:pPr>
      <w:r>
        <w:rPr>
          <w:b/>
          <w:sz w:val="28"/>
        </w:rPr>
        <w:t>Potential</w:t>
      </w:r>
      <w:r w:rsidR="00217BC0">
        <w:rPr>
          <w:b/>
          <w:sz w:val="28"/>
        </w:rPr>
        <w:t xml:space="preserve"> implications</w:t>
      </w:r>
      <w:r w:rsidR="00D95B85" w:rsidRPr="00A13505">
        <w:rPr>
          <w:b/>
          <w:sz w:val="28"/>
        </w:rPr>
        <w:t xml:space="preserve"> of admission criteria for EU </w:t>
      </w:r>
      <w:r w:rsidR="00881920">
        <w:rPr>
          <w:b/>
          <w:sz w:val="28"/>
        </w:rPr>
        <w:t>nationals</w:t>
      </w:r>
      <w:r w:rsidR="00D95B85" w:rsidRPr="00A13505">
        <w:rPr>
          <w:b/>
          <w:sz w:val="28"/>
        </w:rPr>
        <w:t xml:space="preserve"> </w:t>
      </w:r>
      <w:r w:rsidR="00881920">
        <w:rPr>
          <w:b/>
          <w:sz w:val="28"/>
        </w:rPr>
        <w:t xml:space="preserve">coming to </w:t>
      </w:r>
      <w:r w:rsidR="00D95B85" w:rsidRPr="00A13505">
        <w:rPr>
          <w:b/>
          <w:sz w:val="28"/>
        </w:rPr>
        <w:t>the UK</w:t>
      </w:r>
    </w:p>
    <w:p w14:paraId="369E19CF" w14:textId="77777777" w:rsidR="00210D0C" w:rsidRPr="00A13505" w:rsidRDefault="00210D0C" w:rsidP="00F43151">
      <w:pPr>
        <w:spacing w:after="0" w:line="240" w:lineRule="auto"/>
        <w:jc w:val="both"/>
        <w:rPr>
          <w:b/>
          <w:sz w:val="28"/>
        </w:rPr>
      </w:pPr>
    </w:p>
    <w:p w14:paraId="6A50EFEA" w14:textId="77777777" w:rsidR="007501E5" w:rsidRPr="00210D0C" w:rsidRDefault="007501E5" w:rsidP="00210D0C">
      <w:pPr>
        <w:spacing w:after="0" w:line="240" w:lineRule="auto"/>
        <w:jc w:val="center"/>
        <w:rPr>
          <w:i/>
        </w:rPr>
      </w:pPr>
      <w:r w:rsidRPr="00210D0C">
        <w:rPr>
          <w:i/>
        </w:rPr>
        <w:t>Carlos Vargas-Silva</w:t>
      </w:r>
    </w:p>
    <w:p w14:paraId="3E10DC6B" w14:textId="77777777" w:rsidR="00670479" w:rsidRDefault="00670479" w:rsidP="00F43151">
      <w:pPr>
        <w:spacing w:after="0" w:line="240" w:lineRule="auto"/>
        <w:jc w:val="both"/>
      </w:pPr>
    </w:p>
    <w:p w14:paraId="27E4CABE" w14:textId="77777777" w:rsidR="00210D0C" w:rsidRPr="00320609" w:rsidRDefault="00087B96" w:rsidP="00F43151">
      <w:pPr>
        <w:spacing w:after="0" w:line="240" w:lineRule="auto"/>
        <w:jc w:val="both"/>
        <w:rPr>
          <w:b/>
        </w:rPr>
      </w:pPr>
      <w:r>
        <w:rPr>
          <w:b/>
        </w:rPr>
        <w:t>Executive Summary</w:t>
      </w:r>
      <w:r w:rsidR="00075B0A">
        <w:rPr>
          <w:b/>
        </w:rPr>
        <w:t xml:space="preserve"> </w:t>
      </w:r>
    </w:p>
    <w:p w14:paraId="0F4294A6" w14:textId="77777777" w:rsidR="00320609" w:rsidRDefault="00320609" w:rsidP="00F43151">
      <w:pPr>
        <w:spacing w:after="0" w:line="240" w:lineRule="auto"/>
        <w:jc w:val="both"/>
      </w:pPr>
    </w:p>
    <w:p w14:paraId="084D4B92" w14:textId="6245AA4A" w:rsidR="00055336" w:rsidRDefault="00055336" w:rsidP="00055336">
      <w:pPr>
        <w:spacing w:after="0" w:line="240" w:lineRule="auto"/>
        <w:jc w:val="both"/>
      </w:pPr>
      <w:r>
        <w:t>In the debate over the UK’s membership of the European Union</w:t>
      </w:r>
      <w:r w:rsidR="009B58CF">
        <w:t xml:space="preserve"> (EU)</w:t>
      </w:r>
      <w:r>
        <w:t xml:space="preserve">, the question of how EU exit could affect migration levels has been a major point of contention. However, it is not possible to know </w:t>
      </w:r>
      <w:r w:rsidR="00342241">
        <w:t xml:space="preserve">how </w:t>
      </w:r>
      <w:r>
        <w:t xml:space="preserve">exactly a vote to leave the EU would affect migration to the UK, both because forecasting migration under any policy regime is difficult, and because the </w:t>
      </w:r>
      <w:r w:rsidRPr="00A13505">
        <w:t>policies</w:t>
      </w:r>
      <w:r>
        <w:t xml:space="preserve"> </w:t>
      </w:r>
      <w:r w:rsidRPr="00A13505">
        <w:t xml:space="preserve">that would follow a vote </w:t>
      </w:r>
      <w:r w:rsidR="005D0713">
        <w:t>to</w:t>
      </w:r>
      <w:r w:rsidR="005D0713" w:rsidRPr="00A13505">
        <w:t xml:space="preserve"> </w:t>
      </w:r>
      <w:r w:rsidRPr="00A13505">
        <w:t>leave the EU</w:t>
      </w:r>
      <w:r>
        <w:t xml:space="preserve"> </w:t>
      </w:r>
      <w:r w:rsidR="001A7342">
        <w:t>are not</w:t>
      </w:r>
      <w:r>
        <w:t xml:space="preserve"> known in advance</w:t>
      </w:r>
      <w:r w:rsidRPr="00A13505">
        <w:t xml:space="preserve">. </w:t>
      </w:r>
    </w:p>
    <w:p w14:paraId="1858DA69" w14:textId="77777777" w:rsidR="00055336" w:rsidRDefault="00055336" w:rsidP="00055336">
      <w:pPr>
        <w:spacing w:after="0" w:line="240" w:lineRule="auto"/>
        <w:jc w:val="both"/>
      </w:pPr>
    </w:p>
    <w:p w14:paraId="23BFB4BB" w14:textId="77777777" w:rsidR="00A37028" w:rsidRPr="00A37028" w:rsidRDefault="00A37028" w:rsidP="00E873B6">
      <w:pPr>
        <w:spacing w:line="240" w:lineRule="auto"/>
        <w:jc w:val="both"/>
      </w:pPr>
      <w:r>
        <w:t>E</w:t>
      </w:r>
      <w:r w:rsidRPr="00A13505">
        <w:t>U exit could mean tighter controls</w:t>
      </w:r>
      <w:r>
        <w:t xml:space="preserve"> on the migration of EU nationals</w:t>
      </w:r>
      <w:r w:rsidRPr="00170031">
        <w:t>, but free movement could also remain</w:t>
      </w:r>
      <w:r>
        <w:t xml:space="preserve"> largely</w:t>
      </w:r>
      <w:r w:rsidRPr="00170031">
        <w:t xml:space="preserve"> unaffected if the UK were to follow a model such as </w:t>
      </w:r>
      <w:r w:rsidRPr="00941CD2">
        <w:rPr>
          <w:color w:val="000000" w:themeColor="text1"/>
        </w:rPr>
        <w:t>that of Norway</w:t>
      </w:r>
      <w:r>
        <w:rPr>
          <w:color w:val="000000" w:themeColor="text1"/>
        </w:rPr>
        <w:t>, which is not a member of the EU but has access to the EU single market as part of th</w:t>
      </w:r>
      <w:r w:rsidR="00C04746">
        <w:rPr>
          <w:color w:val="000000" w:themeColor="text1"/>
        </w:rPr>
        <w:t xml:space="preserve">e European Economic Area (EEA). </w:t>
      </w:r>
      <w:r w:rsidR="00055336">
        <w:t xml:space="preserve">If the UK </w:t>
      </w:r>
      <w:r>
        <w:t>did introduce</w:t>
      </w:r>
      <w:r w:rsidR="00055336">
        <w:t xml:space="preserve"> admission requirements for EU nationals after leaving the EU, </w:t>
      </w:r>
      <w:r>
        <w:t xml:space="preserve">however, </w:t>
      </w:r>
      <w:r w:rsidR="00055336">
        <w:t>the requirements for work visas would be particularly significant since a majority of EU nationals coming to th</w:t>
      </w:r>
      <w:r>
        <w:t xml:space="preserve">e UK report doing so for work. </w:t>
      </w:r>
    </w:p>
    <w:p w14:paraId="0C852175" w14:textId="1652580B" w:rsidR="00055336" w:rsidRDefault="00A37028" w:rsidP="00E873B6">
      <w:pPr>
        <w:spacing w:line="240" w:lineRule="auto"/>
        <w:jc w:val="both"/>
      </w:pPr>
      <w:r>
        <w:t xml:space="preserve">There is </w:t>
      </w:r>
      <w:r w:rsidR="004617AD">
        <w:t>no reason to assume</w:t>
      </w:r>
      <w:r w:rsidR="00055336">
        <w:t xml:space="preserve"> that </w:t>
      </w:r>
      <w:r>
        <w:t>any admission requirements imposed on EU citizens after a vote to leave the EU</w:t>
      </w:r>
      <w:r w:rsidR="00055336">
        <w:t xml:space="preserve"> would be the same as the ones that currently apply to non-EU nationals. These policies were designed to regulate non-EU migration in a </w:t>
      </w:r>
      <w:r w:rsidR="00516433">
        <w:t>very different environment, in which EU nationals did not face restrictions on migration for work</w:t>
      </w:r>
      <w:r w:rsidR="00055336">
        <w:t xml:space="preserve">. </w:t>
      </w:r>
      <w:r w:rsidR="00055336">
        <w:rPr>
          <w:color w:val="000000" w:themeColor="text1"/>
        </w:rPr>
        <w:t>Nonetheless, even if we do not know exactly which criteria would be in place if the UK imposed admission requirements on EU citizens, it is reasonable to assume that the skill level of the job would continue to be an important part of any selection scheme in the future.</w:t>
      </w:r>
      <w:r w:rsidR="00055336" w:rsidRPr="00413A33">
        <w:rPr>
          <w:color w:val="000000" w:themeColor="text1"/>
        </w:rPr>
        <w:t xml:space="preserve"> </w:t>
      </w:r>
      <w:r w:rsidR="00055336">
        <w:rPr>
          <w:color w:val="000000" w:themeColor="text1"/>
        </w:rPr>
        <w:t xml:space="preserve">As a result, it is possible to draw broad conclusions about </w:t>
      </w:r>
      <w:r w:rsidR="008E4EE4">
        <w:rPr>
          <w:color w:val="000000" w:themeColor="text1"/>
        </w:rPr>
        <w:t xml:space="preserve">the </w:t>
      </w:r>
      <w:r w:rsidR="001A7342">
        <w:rPr>
          <w:color w:val="000000" w:themeColor="text1"/>
        </w:rPr>
        <w:t xml:space="preserve">industries, occupations and regions </w:t>
      </w:r>
      <w:r w:rsidR="008E4EE4">
        <w:rPr>
          <w:color w:val="000000" w:themeColor="text1"/>
        </w:rPr>
        <w:t xml:space="preserve">in which </w:t>
      </w:r>
      <w:r w:rsidR="00055336">
        <w:rPr>
          <w:color w:val="000000" w:themeColor="text1"/>
        </w:rPr>
        <w:t>the implications of introducing admission requirements would be more significant.</w:t>
      </w:r>
    </w:p>
    <w:p w14:paraId="6A614FD5" w14:textId="20BB3C38" w:rsidR="004617AD" w:rsidRDefault="00055336" w:rsidP="004617AD">
      <w:pPr>
        <w:spacing w:line="240" w:lineRule="auto"/>
        <w:jc w:val="both"/>
      </w:pPr>
      <w:r>
        <w:t xml:space="preserve">The </w:t>
      </w:r>
      <w:r w:rsidR="00342241">
        <w:t xml:space="preserve">UK’s </w:t>
      </w:r>
      <w:r w:rsidR="008E4EE4">
        <w:t>current</w:t>
      </w:r>
      <w:r>
        <w:t xml:space="preserve"> </w:t>
      </w:r>
      <w:r w:rsidR="00342241">
        <w:t xml:space="preserve">labour </w:t>
      </w:r>
      <w:r>
        <w:t xml:space="preserve">immigration </w:t>
      </w:r>
      <w:r w:rsidR="00342241">
        <w:t xml:space="preserve">policies </w:t>
      </w:r>
      <w:r>
        <w:t xml:space="preserve">for non-EU nationals place a strong emphasis on the skill level of the job when determining their eligibility </w:t>
      </w:r>
      <w:r w:rsidR="00BC57E8">
        <w:t xml:space="preserve">for an employer to sponsor them </w:t>
      </w:r>
      <w:r>
        <w:t xml:space="preserve">to come to the UK for work. </w:t>
      </w:r>
      <w:r w:rsidR="004617AD">
        <w:t xml:space="preserve">With </w:t>
      </w:r>
      <w:r>
        <w:t xml:space="preserve">narrow exceptions for occupations deemed to face a shortage of workers, </w:t>
      </w:r>
      <w:r w:rsidR="001A7342">
        <w:t xml:space="preserve">Tier 2 </w:t>
      </w:r>
      <w:r>
        <w:t xml:space="preserve">visas are </w:t>
      </w:r>
      <w:r w:rsidR="004617AD">
        <w:t xml:space="preserve">currently </w:t>
      </w:r>
      <w:r>
        <w:t xml:space="preserve">available to workers in graduate-level jobs that pay at least £20,800. </w:t>
      </w:r>
      <w:r w:rsidR="004617AD">
        <w:t xml:space="preserve">In 2015, most employee jobs in the UK labour market did not meet the criteria for skilled work visas. Specifically, </w:t>
      </w:r>
      <w:r w:rsidR="00A8066C">
        <w:t>this</w:t>
      </w:r>
      <w:r w:rsidR="004617AD">
        <w:t xml:space="preserve"> report finds that </w:t>
      </w:r>
      <w:r w:rsidR="004617AD" w:rsidRPr="009B58CF">
        <w:t xml:space="preserve">about </w:t>
      </w:r>
      <w:r w:rsidR="009B58CF" w:rsidRPr="00C04746">
        <w:t>25</w:t>
      </w:r>
      <w:r w:rsidR="004617AD" w:rsidRPr="00C04746">
        <w:t>%</w:t>
      </w:r>
      <w:r w:rsidR="004617AD">
        <w:t xml:space="preserve"> of all employees in the UK labour market were in graduate jobs </w:t>
      </w:r>
      <w:r w:rsidR="00A8066C">
        <w:t xml:space="preserve">paying </w:t>
      </w:r>
      <w:r w:rsidR="004617AD">
        <w:t>at least £20,000 per year</w:t>
      </w:r>
      <w:r w:rsidR="00BC57E8">
        <w:t xml:space="preserve">—a threshold </w:t>
      </w:r>
      <w:r w:rsidR="001A7342">
        <w:t xml:space="preserve">which is close to the </w:t>
      </w:r>
      <w:r w:rsidR="00BC57E8">
        <w:t>current Tier 2 work visa requirements</w:t>
      </w:r>
      <w:r w:rsidR="004617AD">
        <w:t xml:space="preserve">. Examining differences between industries and UK regions, the report finds that: </w:t>
      </w:r>
    </w:p>
    <w:p w14:paraId="32407F6A" w14:textId="77777777" w:rsidR="004617AD" w:rsidRDefault="004617AD" w:rsidP="00295FA5">
      <w:pPr>
        <w:pStyle w:val="ListParagraph"/>
        <w:numPr>
          <w:ilvl w:val="0"/>
          <w:numId w:val="7"/>
        </w:numPr>
        <w:spacing w:line="240" w:lineRule="auto"/>
        <w:ind w:left="714" w:hanging="357"/>
        <w:contextualSpacing w:val="0"/>
        <w:jc w:val="both"/>
      </w:pPr>
      <w:r>
        <w:t xml:space="preserve">Skill-based selection criteria would affect employers’ ability to sponsor EU workers in some industries much more than </w:t>
      </w:r>
      <w:r w:rsidRPr="007476FE">
        <w:t xml:space="preserve">others. </w:t>
      </w:r>
      <w:r w:rsidR="00295FA5" w:rsidRPr="007476FE">
        <w:t>T</w:t>
      </w:r>
      <w:r w:rsidRPr="007476FE">
        <w:t xml:space="preserve">he </w:t>
      </w:r>
      <w:r w:rsidR="002354A6" w:rsidRPr="007476FE">
        <w:t>“</w:t>
      </w:r>
      <w:r w:rsidR="009B58CF" w:rsidRPr="007476FE">
        <w:t>agriculture, forestry and fishing</w:t>
      </w:r>
      <w:r w:rsidR="002354A6" w:rsidRPr="007476FE">
        <w:t>”</w:t>
      </w:r>
      <w:r w:rsidR="009B58CF" w:rsidRPr="007476FE">
        <w:t xml:space="preserve"> industry</w:t>
      </w:r>
      <w:r w:rsidR="002354A6" w:rsidRPr="007476FE">
        <w:t xml:space="preserve"> category</w:t>
      </w:r>
      <w:r w:rsidR="009B58CF" w:rsidRPr="007476FE">
        <w:t xml:space="preserve"> </w:t>
      </w:r>
      <w:r w:rsidR="007476FE" w:rsidRPr="007476FE">
        <w:t xml:space="preserve">and the </w:t>
      </w:r>
      <w:r w:rsidR="00BC57E8">
        <w:t>“</w:t>
      </w:r>
      <w:r w:rsidRPr="007476FE">
        <w:t>distribution, hotels and restaurants</w:t>
      </w:r>
      <w:r w:rsidR="00BC57E8">
        <w:t>”</w:t>
      </w:r>
      <w:r w:rsidRPr="007476FE">
        <w:t xml:space="preserve"> sector </w:t>
      </w:r>
      <w:r w:rsidR="00295FA5" w:rsidRPr="007476FE">
        <w:t>had</w:t>
      </w:r>
      <w:r w:rsidRPr="007476FE">
        <w:t xml:space="preserve"> the lowest share</w:t>
      </w:r>
      <w:r w:rsidR="007476FE" w:rsidRPr="007476FE">
        <w:t>s</w:t>
      </w:r>
      <w:r w:rsidR="00295FA5" w:rsidRPr="007476FE">
        <w:t xml:space="preserve"> </w:t>
      </w:r>
      <w:r w:rsidRPr="007476FE">
        <w:t xml:space="preserve">of </w:t>
      </w:r>
      <w:r w:rsidR="00295FA5" w:rsidRPr="007476FE">
        <w:t>employees in graduate jobs paying at least £20,000 in 2015</w:t>
      </w:r>
      <w:r w:rsidR="00BC57E8">
        <w:t xml:space="preserve"> </w:t>
      </w:r>
      <w:r w:rsidR="00BC57E8" w:rsidRPr="007476FE">
        <w:t>(4% and 6%, respectively)</w:t>
      </w:r>
      <w:r w:rsidR="00295FA5" w:rsidRPr="007476FE">
        <w:t>, while</w:t>
      </w:r>
      <w:r w:rsidR="00295FA5">
        <w:t xml:space="preserve"> the shares were highest in </w:t>
      </w:r>
      <w:r w:rsidR="002354A6">
        <w:t>“</w:t>
      </w:r>
      <w:r w:rsidR="00295FA5">
        <w:t>public administration, education and health</w:t>
      </w:r>
      <w:r w:rsidR="002354A6">
        <w:t>”</w:t>
      </w:r>
      <w:r w:rsidR="00295FA5">
        <w:t xml:space="preserve"> (</w:t>
      </w:r>
      <w:r w:rsidR="002354A6" w:rsidRPr="002354A6">
        <w:t>33</w:t>
      </w:r>
      <w:r w:rsidR="00295FA5" w:rsidRPr="002354A6">
        <w:t>%</w:t>
      </w:r>
      <w:r w:rsidR="00295FA5">
        <w:t xml:space="preserve">) and </w:t>
      </w:r>
      <w:r w:rsidR="002354A6">
        <w:t>“</w:t>
      </w:r>
      <w:r w:rsidR="00295FA5">
        <w:t>banking and finance</w:t>
      </w:r>
      <w:r w:rsidR="002354A6">
        <w:t>”</w:t>
      </w:r>
      <w:r w:rsidR="00295FA5">
        <w:t xml:space="preserve"> (</w:t>
      </w:r>
      <w:r w:rsidR="002354A6" w:rsidRPr="002354A6">
        <w:t>34</w:t>
      </w:r>
      <w:r w:rsidR="00295FA5" w:rsidRPr="002354A6">
        <w:t>%</w:t>
      </w:r>
      <w:r w:rsidR="00295FA5">
        <w:t>)</w:t>
      </w:r>
      <w:r w:rsidR="002354A6">
        <w:t xml:space="preserve"> industry categories</w:t>
      </w:r>
      <w:r w:rsidR="00295FA5">
        <w:t xml:space="preserve">. </w:t>
      </w:r>
    </w:p>
    <w:p w14:paraId="6F64C199" w14:textId="0D8485DF" w:rsidR="00295FA5" w:rsidRDefault="00295FA5" w:rsidP="002354A6">
      <w:pPr>
        <w:pStyle w:val="ListParagraph"/>
        <w:numPr>
          <w:ilvl w:val="0"/>
          <w:numId w:val="7"/>
        </w:numPr>
        <w:spacing w:line="240" w:lineRule="auto"/>
        <w:ind w:left="714" w:hanging="357"/>
        <w:contextualSpacing w:val="0"/>
        <w:jc w:val="both"/>
      </w:pPr>
      <w:r>
        <w:t xml:space="preserve">Some of the occupations </w:t>
      </w:r>
      <w:r w:rsidR="00A8066C">
        <w:t>and</w:t>
      </w:r>
      <w:r>
        <w:t xml:space="preserve"> industries </w:t>
      </w:r>
      <w:r w:rsidR="00A8066C">
        <w:t xml:space="preserve">in which employers have relied most on workers from EU countries </w:t>
      </w:r>
      <w:r w:rsidR="001A7342">
        <w:t xml:space="preserve">in recent years </w:t>
      </w:r>
      <w:r w:rsidR="00A8066C">
        <w:t xml:space="preserve">are those in which the smallest shares of jobs are currently eligible for work visas. </w:t>
      </w:r>
      <w:r w:rsidR="00BC57E8">
        <w:t>Most notably, the</w:t>
      </w:r>
      <w:r w:rsidR="00A8066C">
        <w:t xml:space="preserve"> distribution, hotels and restaurants</w:t>
      </w:r>
      <w:r w:rsidR="00BC57E8">
        <w:t xml:space="preserve"> industry category is the largest employer of </w:t>
      </w:r>
      <w:r w:rsidR="00A8066C">
        <w:t>EU born workers</w:t>
      </w:r>
      <w:r w:rsidR="00BC57E8">
        <w:t xml:space="preserve">, but only </w:t>
      </w:r>
      <w:r w:rsidR="002354A6">
        <w:t xml:space="preserve">6% of </w:t>
      </w:r>
      <w:r w:rsidR="008E4EE4">
        <w:t>all</w:t>
      </w:r>
      <w:r w:rsidR="002354A6">
        <w:t xml:space="preserve"> employees </w:t>
      </w:r>
      <w:r w:rsidR="00BC57E8">
        <w:t xml:space="preserve">in this sector </w:t>
      </w:r>
      <w:r w:rsidR="00C04746">
        <w:t>were</w:t>
      </w:r>
      <w:r w:rsidR="002354A6">
        <w:t xml:space="preserve"> in graduate jobs paying at least £20,000</w:t>
      </w:r>
      <w:r w:rsidR="00C04746">
        <w:t xml:space="preserve"> in 2015</w:t>
      </w:r>
      <w:r w:rsidR="00A8066C">
        <w:t>.</w:t>
      </w:r>
    </w:p>
    <w:p w14:paraId="0763FE5A" w14:textId="77777777" w:rsidR="00C13505" w:rsidRDefault="00A8066C" w:rsidP="002354A6">
      <w:pPr>
        <w:pStyle w:val="ListParagraph"/>
        <w:numPr>
          <w:ilvl w:val="0"/>
          <w:numId w:val="7"/>
        </w:numPr>
        <w:spacing w:line="240" w:lineRule="auto"/>
        <w:ind w:left="714" w:hanging="357"/>
        <w:contextualSpacing w:val="0"/>
        <w:jc w:val="both"/>
      </w:pPr>
      <w:r>
        <w:lastRenderedPageBreak/>
        <w:t xml:space="preserve">The implications of skill-based selection for UK regions would also vary. Employee jobs in London and the South East are most likely to be graduate occupations paying at least £20,000, while </w:t>
      </w:r>
      <w:r w:rsidR="002354A6">
        <w:t xml:space="preserve">Wales and the North East </w:t>
      </w:r>
      <w:r>
        <w:t xml:space="preserve">regions had lower shares of these jobs. </w:t>
      </w:r>
    </w:p>
    <w:p w14:paraId="2221683D" w14:textId="30107B7A" w:rsidR="00FE5C23" w:rsidRDefault="00FE5C23" w:rsidP="00FE5C23">
      <w:pPr>
        <w:spacing w:after="0" w:line="240" w:lineRule="auto"/>
      </w:pPr>
      <w:r>
        <w:t>Despite uncertainty about future immigration policies, it is clear that there are scenarios in which admission requirements for EU nationals would represent a substantial departure from the status quo. It is also clear that in any selection system based on earnings and proposed occupation, there would be large differences in the implications for different industries</w:t>
      </w:r>
      <w:r w:rsidR="00342241">
        <w:t>, occupations and</w:t>
      </w:r>
      <w:r>
        <w:t xml:space="preserve">, to a lesser extent, regions. </w:t>
      </w:r>
    </w:p>
    <w:p w14:paraId="76A89FB5" w14:textId="77777777" w:rsidR="00FE5C23" w:rsidRDefault="00FE5C23" w:rsidP="00FE5C23">
      <w:pPr>
        <w:spacing w:line="240" w:lineRule="auto"/>
        <w:jc w:val="both"/>
      </w:pPr>
    </w:p>
    <w:p w14:paraId="3E03E1C2" w14:textId="77777777" w:rsidR="005C6C5F" w:rsidRPr="00A13505" w:rsidRDefault="005C6C5F" w:rsidP="005C6C5F">
      <w:pPr>
        <w:shd w:val="clear" w:color="auto" w:fill="DBE5F1" w:themeFill="accent1" w:themeFillTint="33"/>
        <w:spacing w:after="0" w:line="240" w:lineRule="auto"/>
        <w:jc w:val="both"/>
      </w:pPr>
      <w:r>
        <w:rPr>
          <w:b/>
        </w:rPr>
        <w:t>Understanding the Evidence</w:t>
      </w:r>
    </w:p>
    <w:p w14:paraId="35F8A4D2" w14:textId="77777777" w:rsidR="005C6C5F" w:rsidRPr="008727F7" w:rsidRDefault="005C6C5F" w:rsidP="005C6C5F">
      <w:pPr>
        <w:shd w:val="clear" w:color="auto" w:fill="DBE5F1" w:themeFill="accent1" w:themeFillTint="33"/>
        <w:spacing w:after="0" w:line="240" w:lineRule="auto"/>
        <w:jc w:val="both"/>
      </w:pPr>
    </w:p>
    <w:p w14:paraId="1ED7E1DC" w14:textId="035DCB65" w:rsidR="005C6C5F" w:rsidRDefault="005C6C5F" w:rsidP="005C6C5F">
      <w:pPr>
        <w:shd w:val="clear" w:color="auto" w:fill="DBE5F1" w:themeFill="accent1" w:themeFillTint="33"/>
        <w:spacing w:after="0" w:line="240" w:lineRule="auto"/>
        <w:jc w:val="both"/>
      </w:pPr>
      <w:r>
        <w:t xml:space="preserve">The </w:t>
      </w:r>
      <w:r w:rsidR="00342241">
        <w:t xml:space="preserve">labour market </w:t>
      </w:r>
      <w:r>
        <w:t xml:space="preserve">data </w:t>
      </w:r>
      <w:r w:rsidR="00342241">
        <w:t xml:space="preserve">used </w:t>
      </w:r>
      <w:r>
        <w:t>in this report</w:t>
      </w:r>
      <w:r w:rsidRPr="008727F7">
        <w:t xml:space="preserve"> </w:t>
      </w:r>
      <w:r w:rsidR="00342241">
        <w:t xml:space="preserve">are taken </w:t>
      </w:r>
      <w:r w:rsidRPr="008727F7">
        <w:t xml:space="preserve">from the 2015 UK Labour Force Survey </w:t>
      </w:r>
      <w:r>
        <w:t xml:space="preserve">(LFS) quarters 1 to 4. </w:t>
      </w:r>
      <w:r w:rsidRPr="00A55C73">
        <w:t>The LFS, which is conducted by the UK Office for National Statistics (ONS), is the largest household survey in the UK and is designed to be representative of the population of the country.</w:t>
      </w:r>
      <w:r w:rsidRPr="008727F7">
        <w:t xml:space="preserve"> </w:t>
      </w:r>
      <w:r w:rsidR="003D440A">
        <w:t>However, it undercounts some groups; for example, it does not sample people living in certain types of communal accommodation, such as hostels.</w:t>
      </w:r>
    </w:p>
    <w:p w14:paraId="5B007908" w14:textId="77777777" w:rsidR="005C6C5F" w:rsidRDefault="005C6C5F" w:rsidP="005C6C5F">
      <w:pPr>
        <w:shd w:val="clear" w:color="auto" w:fill="DBE5F1" w:themeFill="accent1" w:themeFillTint="33"/>
        <w:spacing w:after="0" w:line="240" w:lineRule="auto"/>
        <w:jc w:val="both"/>
      </w:pPr>
    </w:p>
    <w:p w14:paraId="3C300604" w14:textId="77777777" w:rsidR="005C6C5F" w:rsidRDefault="005C6C5F" w:rsidP="005C6C5F">
      <w:pPr>
        <w:shd w:val="clear" w:color="auto" w:fill="DBE5F1" w:themeFill="accent1" w:themeFillTint="33"/>
        <w:spacing w:after="0" w:line="240" w:lineRule="auto"/>
        <w:jc w:val="both"/>
      </w:pPr>
      <w:r w:rsidRPr="008727F7">
        <w:t xml:space="preserve">The analysis of earnings </w:t>
      </w:r>
      <w:r w:rsidR="003D5BB9">
        <w:t xml:space="preserve">in this paper </w:t>
      </w:r>
      <w:r w:rsidRPr="008727F7">
        <w:t>is limited to employees (i.e.</w:t>
      </w:r>
      <w:r w:rsidR="002354A6">
        <w:t xml:space="preserve"> </w:t>
      </w:r>
      <w:r w:rsidRPr="008727F7">
        <w:t>the self-employed</w:t>
      </w:r>
      <w:r w:rsidR="003D5BB9">
        <w:t xml:space="preserve"> are excluded</w:t>
      </w:r>
      <w:r w:rsidRPr="008727F7">
        <w:t xml:space="preserve">). </w:t>
      </w:r>
      <w:r w:rsidRPr="00FE757C">
        <w:t xml:space="preserve">Earnings data </w:t>
      </w:r>
      <w:r w:rsidR="003D5BB9">
        <w:t>are</w:t>
      </w:r>
      <w:r w:rsidRPr="00FE757C">
        <w:t xml:space="preserve"> collected in two out of five waves in the LFS, corresponding to about 40% of the respondents of the LFS who are employees in any given quarter.</w:t>
      </w:r>
      <w:r>
        <w:t xml:space="preserve"> Annual earnings include earnings from up to two jobs and are based on annualisation of weekly earnings.</w:t>
      </w:r>
    </w:p>
    <w:p w14:paraId="1963A6B1" w14:textId="77777777" w:rsidR="005C6C5F" w:rsidRDefault="005C6C5F" w:rsidP="005C6C5F">
      <w:pPr>
        <w:shd w:val="clear" w:color="auto" w:fill="DBE5F1" w:themeFill="accent1" w:themeFillTint="33"/>
        <w:spacing w:after="0" w:line="240" w:lineRule="auto"/>
        <w:jc w:val="both"/>
      </w:pPr>
    </w:p>
    <w:p w14:paraId="1EFE829C" w14:textId="02EA9000" w:rsidR="001D56A5" w:rsidRDefault="009931D6" w:rsidP="005C6C5F">
      <w:pPr>
        <w:shd w:val="clear" w:color="auto" w:fill="DBE5F1" w:themeFill="accent1" w:themeFillTint="33"/>
        <w:spacing w:after="0" w:line="240" w:lineRule="auto"/>
        <w:jc w:val="both"/>
      </w:pPr>
      <w:r>
        <w:t>In this paper, m</w:t>
      </w:r>
      <w:r w:rsidR="000D6A44" w:rsidRPr="00C04746">
        <w:t>igrants are defined by country of birth. Th</w:t>
      </w:r>
      <w:r w:rsidR="000D6A44">
        <w:t xml:space="preserve">is definition will include people who became UK </w:t>
      </w:r>
      <w:r w:rsidR="002354A6">
        <w:t>national</w:t>
      </w:r>
      <w:r>
        <w:t>s</w:t>
      </w:r>
      <w:r w:rsidR="002354A6">
        <w:t xml:space="preserve"> </w:t>
      </w:r>
      <w:r w:rsidR="000D6A44">
        <w:t>after moving to the UK</w:t>
      </w:r>
      <w:r w:rsidR="001A7342">
        <w:t xml:space="preserve"> and</w:t>
      </w:r>
      <w:r w:rsidR="000D6A44">
        <w:t xml:space="preserve"> people who were born abroad to UK </w:t>
      </w:r>
      <w:r w:rsidR="002354A6">
        <w:t xml:space="preserve">national </w:t>
      </w:r>
      <w:r w:rsidR="000D6A44">
        <w:t xml:space="preserve">parents. </w:t>
      </w:r>
    </w:p>
    <w:p w14:paraId="24E557E4" w14:textId="77777777" w:rsidR="00983D88" w:rsidRDefault="00983D88" w:rsidP="005C6C5F">
      <w:pPr>
        <w:shd w:val="clear" w:color="auto" w:fill="DBE5F1" w:themeFill="accent1" w:themeFillTint="33"/>
        <w:spacing w:after="0" w:line="240" w:lineRule="auto"/>
        <w:jc w:val="both"/>
      </w:pPr>
    </w:p>
    <w:p w14:paraId="0D6988AB" w14:textId="77777777" w:rsidR="00585E7D" w:rsidRDefault="00585E7D">
      <w:pPr>
        <w:rPr>
          <w:b/>
        </w:rPr>
      </w:pPr>
      <w:r>
        <w:rPr>
          <w:b/>
        </w:rPr>
        <w:br w:type="page"/>
      </w:r>
    </w:p>
    <w:p w14:paraId="24ACBC7F" w14:textId="77777777" w:rsidR="00D95B85" w:rsidRPr="00A13505" w:rsidRDefault="00087B96" w:rsidP="00F43151">
      <w:pPr>
        <w:spacing w:after="0" w:line="240" w:lineRule="auto"/>
        <w:jc w:val="both"/>
        <w:rPr>
          <w:b/>
        </w:rPr>
      </w:pPr>
      <w:r>
        <w:rPr>
          <w:b/>
        </w:rPr>
        <w:lastRenderedPageBreak/>
        <w:t>Introduction</w:t>
      </w:r>
      <w:r w:rsidR="008360B4">
        <w:rPr>
          <w:b/>
        </w:rPr>
        <w:t xml:space="preserve">: </w:t>
      </w:r>
      <w:r>
        <w:rPr>
          <w:b/>
        </w:rPr>
        <w:t xml:space="preserve">What can we say about EU migration after a vote to leave the European Union? </w:t>
      </w:r>
    </w:p>
    <w:p w14:paraId="11C82CB5" w14:textId="77777777" w:rsidR="00670479" w:rsidRPr="00A13505" w:rsidRDefault="00670479" w:rsidP="00F43151">
      <w:pPr>
        <w:spacing w:after="0" w:line="240" w:lineRule="auto"/>
        <w:jc w:val="both"/>
        <w:rPr>
          <w:b/>
        </w:rPr>
      </w:pPr>
    </w:p>
    <w:p w14:paraId="4767C3B1" w14:textId="77777777" w:rsidR="00087B96" w:rsidRDefault="00EF06A5" w:rsidP="00DD5BCF">
      <w:pPr>
        <w:spacing w:after="0" w:line="240" w:lineRule="auto"/>
        <w:jc w:val="both"/>
      </w:pPr>
      <w:r w:rsidRPr="00EF06A5">
        <w:t>EU membership affects migration</w:t>
      </w:r>
      <w:r w:rsidR="0077725C">
        <w:t xml:space="preserve"> to the UK in multiple</w:t>
      </w:r>
      <w:r w:rsidRPr="00EF06A5">
        <w:t xml:space="preserve"> ways</w:t>
      </w:r>
      <w:r w:rsidR="006C2E3B">
        <w:t>, but t</w:t>
      </w:r>
      <w:r w:rsidR="00E97005">
        <w:t xml:space="preserve">he most </w:t>
      </w:r>
      <w:r w:rsidRPr="00EF06A5">
        <w:t xml:space="preserve">significant </w:t>
      </w:r>
      <w:r w:rsidR="00E97005">
        <w:t xml:space="preserve">is the fact that EU </w:t>
      </w:r>
      <w:r w:rsidR="008B7DCC">
        <w:t xml:space="preserve">nationals </w:t>
      </w:r>
      <w:r w:rsidR="00E97005">
        <w:t>have the right to work and live in the UK without having to meet admission requirements such as a skilled job or a qualifying family relationship</w:t>
      </w:r>
      <w:r w:rsidRPr="00EF06A5">
        <w:t>.</w:t>
      </w:r>
      <w:r w:rsidR="0077725C">
        <w:t xml:space="preserve"> </w:t>
      </w:r>
    </w:p>
    <w:p w14:paraId="72CB3005" w14:textId="77777777" w:rsidR="00087B96" w:rsidRDefault="00087B96" w:rsidP="00DD5BCF">
      <w:pPr>
        <w:spacing w:after="0" w:line="240" w:lineRule="auto"/>
        <w:jc w:val="both"/>
      </w:pPr>
    </w:p>
    <w:p w14:paraId="77FE1E08" w14:textId="366A80C6" w:rsidR="00E97005" w:rsidRDefault="00154207" w:rsidP="006C2E3B">
      <w:pPr>
        <w:spacing w:after="0" w:line="240" w:lineRule="auto"/>
        <w:jc w:val="both"/>
      </w:pPr>
      <w:r>
        <w:t>It</w:t>
      </w:r>
      <w:r w:rsidR="006C2E3B">
        <w:t xml:space="preserve"> is not possible to know </w:t>
      </w:r>
      <w:r w:rsidR="00986AF4">
        <w:t xml:space="preserve">how </w:t>
      </w:r>
      <w:r w:rsidR="006C2E3B">
        <w:t xml:space="preserve">exactly a vote to leave the EU (popularly known as “Brexit”) would affect migration to the UK, for two main reasons. First, forecasting migration under any policy regime is difficult and </w:t>
      </w:r>
      <w:hyperlink r:id="rId9" w:history="1">
        <w:r w:rsidR="006C2E3B" w:rsidRPr="00075B0A">
          <w:rPr>
            <w:rStyle w:val="Hyperlink"/>
          </w:rPr>
          <w:t>cannot be done with confidence</w:t>
        </w:r>
      </w:hyperlink>
      <w:r w:rsidR="006C2E3B">
        <w:t xml:space="preserve">. Second, </w:t>
      </w:r>
      <w:r w:rsidR="00DD5BCF" w:rsidRPr="00A13505">
        <w:t>the policies</w:t>
      </w:r>
      <w:r w:rsidR="0077725C">
        <w:t xml:space="preserve"> and agreements</w:t>
      </w:r>
      <w:r w:rsidR="00DD5BCF" w:rsidRPr="00A13505">
        <w:t xml:space="preserve"> that would follow </w:t>
      </w:r>
      <w:r w:rsidR="00DB50E3" w:rsidRPr="00A13505">
        <w:t>a vote the leave the EU</w:t>
      </w:r>
      <w:r w:rsidR="005D0713">
        <w:t xml:space="preserve"> </w:t>
      </w:r>
      <w:r w:rsidR="00986AF4">
        <w:t xml:space="preserve">are not </w:t>
      </w:r>
      <w:r w:rsidR="006C2E3B">
        <w:t>known in advance</w:t>
      </w:r>
      <w:r w:rsidR="00DD5BCF" w:rsidRPr="00A13505">
        <w:t xml:space="preserve">. </w:t>
      </w:r>
    </w:p>
    <w:p w14:paraId="6AD32099" w14:textId="77777777" w:rsidR="00E97005" w:rsidRDefault="00E97005" w:rsidP="00DD5BCF">
      <w:pPr>
        <w:spacing w:after="0" w:line="240" w:lineRule="auto"/>
        <w:jc w:val="both"/>
      </w:pPr>
    </w:p>
    <w:p w14:paraId="40968BFD" w14:textId="2EDAFA15" w:rsidR="00E97005" w:rsidRDefault="00DC04E7" w:rsidP="00DD5BCF">
      <w:pPr>
        <w:spacing w:after="0" w:line="240" w:lineRule="auto"/>
        <w:jc w:val="both"/>
        <w:rPr>
          <w:color w:val="000000" w:themeColor="text1"/>
        </w:rPr>
      </w:pPr>
      <w:r>
        <w:t>Any</w:t>
      </w:r>
      <w:r w:rsidRPr="00A13505">
        <w:t xml:space="preserve"> </w:t>
      </w:r>
      <w:r w:rsidR="001A7342">
        <w:t xml:space="preserve">restrictions </w:t>
      </w:r>
      <w:r w:rsidRPr="00A13505">
        <w:t xml:space="preserve">on </w:t>
      </w:r>
      <w:r w:rsidR="001A7342">
        <w:t xml:space="preserve">EU </w:t>
      </w:r>
      <w:r w:rsidRPr="00A13505">
        <w:t xml:space="preserve">migration in a post-Brexit scenario are likely to apply only to </w:t>
      </w:r>
      <w:r>
        <w:t>future migrants</w:t>
      </w:r>
      <w:r w:rsidRPr="00A13505">
        <w:t xml:space="preserve"> </w:t>
      </w:r>
      <w:r>
        <w:t xml:space="preserve">coming </w:t>
      </w:r>
      <w:r w:rsidRPr="00A13505">
        <w:t xml:space="preserve">to the UK after the establishment of those rules, not to EU nationals </w:t>
      </w:r>
      <w:r>
        <w:t>already</w:t>
      </w:r>
      <w:r w:rsidRPr="00A13505">
        <w:t xml:space="preserve"> living in the country.</w:t>
      </w:r>
      <w:r>
        <w:t xml:space="preserve"> </w:t>
      </w:r>
      <w:r w:rsidR="00DD5BCF" w:rsidRPr="00A13505">
        <w:t>EU exit could mean tighter controls</w:t>
      </w:r>
      <w:r w:rsidR="00DD5BCF">
        <w:t xml:space="preserve"> on </w:t>
      </w:r>
      <w:r>
        <w:t>new</w:t>
      </w:r>
      <w:r w:rsidR="00DD5BCF">
        <w:t xml:space="preserve"> migration of EU nationals</w:t>
      </w:r>
      <w:r w:rsidR="00DD5BCF" w:rsidRPr="00170031">
        <w:t>, but free movement could also remain</w:t>
      </w:r>
      <w:r w:rsidR="00DB50E3">
        <w:t xml:space="preserve"> largely</w:t>
      </w:r>
      <w:r w:rsidR="00DD5BCF" w:rsidRPr="00170031">
        <w:t xml:space="preserve"> unaffected if the UK were to follow a model such as </w:t>
      </w:r>
      <w:r w:rsidR="00DD5BCF" w:rsidRPr="00941CD2">
        <w:rPr>
          <w:color w:val="000000" w:themeColor="text1"/>
        </w:rPr>
        <w:t>that of Norway</w:t>
      </w:r>
      <w:r w:rsidR="003705B1">
        <w:rPr>
          <w:color w:val="000000" w:themeColor="text1"/>
        </w:rPr>
        <w:t>, which is not a member of the EU but has access to the EU single market</w:t>
      </w:r>
      <w:r w:rsidR="00C86E32">
        <w:rPr>
          <w:color w:val="000000" w:themeColor="text1"/>
        </w:rPr>
        <w:t xml:space="preserve"> as part of the European Economic Area (EEA)</w:t>
      </w:r>
      <w:r w:rsidR="0077725C">
        <w:rPr>
          <w:color w:val="000000" w:themeColor="text1"/>
        </w:rPr>
        <w:t xml:space="preserve">. </w:t>
      </w:r>
      <w:r w:rsidR="007848A9">
        <w:rPr>
          <w:color w:val="000000" w:themeColor="text1"/>
        </w:rPr>
        <w:t xml:space="preserve">Migration would certainly be one of the issues </w:t>
      </w:r>
      <w:r w:rsidR="00154207">
        <w:rPr>
          <w:color w:val="000000" w:themeColor="text1"/>
        </w:rPr>
        <w:t xml:space="preserve">under discussion in </w:t>
      </w:r>
      <w:r w:rsidR="007848A9">
        <w:rPr>
          <w:color w:val="000000" w:themeColor="text1"/>
        </w:rPr>
        <w:t xml:space="preserve">any negotiation with the EU on a post-exit </w:t>
      </w:r>
      <w:r w:rsidR="00154207">
        <w:rPr>
          <w:color w:val="000000" w:themeColor="text1"/>
        </w:rPr>
        <w:t xml:space="preserve">trading </w:t>
      </w:r>
      <w:r w:rsidR="007848A9">
        <w:rPr>
          <w:color w:val="000000" w:themeColor="text1"/>
        </w:rPr>
        <w:t>relationship</w:t>
      </w:r>
      <w:r w:rsidR="00670626">
        <w:rPr>
          <w:color w:val="000000" w:themeColor="text1"/>
        </w:rPr>
        <w:t xml:space="preserve">. </w:t>
      </w:r>
    </w:p>
    <w:p w14:paraId="6A852CDE" w14:textId="77777777" w:rsidR="00154207" w:rsidRDefault="00154207" w:rsidP="00DD5BCF">
      <w:pPr>
        <w:spacing w:after="0" w:line="240" w:lineRule="auto"/>
        <w:jc w:val="both"/>
        <w:rPr>
          <w:color w:val="000000" w:themeColor="text1"/>
        </w:rPr>
      </w:pPr>
    </w:p>
    <w:p w14:paraId="12173730" w14:textId="77777777" w:rsidR="0083296C" w:rsidRPr="00DC04E7" w:rsidRDefault="0083296C" w:rsidP="00DD5BCF">
      <w:pPr>
        <w:spacing w:after="0" w:line="240" w:lineRule="auto"/>
        <w:jc w:val="both"/>
      </w:pPr>
      <w:r>
        <w:t>Despite the uncertainty about post-Brexit policies towards EU nationals, i</w:t>
      </w:r>
      <w:r w:rsidRPr="00170031">
        <w:t xml:space="preserve">t is still possible to </w:t>
      </w:r>
      <w:r>
        <w:t xml:space="preserve">examine the general nature of the changes to migration that might take place </w:t>
      </w:r>
      <w:r w:rsidRPr="00275893">
        <w:t xml:space="preserve">if the UK </w:t>
      </w:r>
      <w:r w:rsidRPr="0083296C">
        <w:rPr>
          <w:i/>
        </w:rPr>
        <w:t>did</w:t>
      </w:r>
      <w:r>
        <w:t xml:space="preserve"> </w:t>
      </w:r>
      <w:r w:rsidRPr="00275893">
        <w:t>impose restrictions on the movement of EU nationals</w:t>
      </w:r>
      <w:r w:rsidR="00670626">
        <w:t>—while bearing in mind that this is just one of the possible post-Brexit scenarios</w:t>
      </w:r>
      <w:r>
        <w:t>. Specifically, it is likely that imposing admission requirements would have quite different impacts in different UK regions, occupations,</w:t>
      </w:r>
      <w:r w:rsidRPr="00275893">
        <w:t xml:space="preserve"> </w:t>
      </w:r>
      <w:r>
        <w:t xml:space="preserve">and </w:t>
      </w:r>
      <w:r w:rsidRPr="00275893">
        <w:t>industries</w:t>
      </w:r>
      <w:r>
        <w:t>, as well as for different profiles of migrants themselves</w:t>
      </w:r>
      <w:r w:rsidRPr="00275893">
        <w:t xml:space="preserve">. </w:t>
      </w:r>
      <w:r>
        <w:t xml:space="preserve">This report </w:t>
      </w:r>
      <w:r w:rsidR="007848A9">
        <w:t xml:space="preserve">examines some of these differences. </w:t>
      </w:r>
    </w:p>
    <w:p w14:paraId="1FACED8D" w14:textId="77777777" w:rsidR="00983D88" w:rsidRDefault="00983D88" w:rsidP="00DD5BCF">
      <w:pPr>
        <w:spacing w:after="0" w:line="240" w:lineRule="auto"/>
        <w:jc w:val="both"/>
        <w:rPr>
          <w:color w:val="000000" w:themeColor="text1"/>
        </w:rPr>
      </w:pPr>
    </w:p>
    <w:p w14:paraId="48220E24" w14:textId="77777777" w:rsidR="0083296C" w:rsidRPr="007848A9" w:rsidRDefault="005A068F" w:rsidP="00DD5BCF">
      <w:pPr>
        <w:spacing w:after="0" w:line="240" w:lineRule="auto"/>
        <w:jc w:val="both"/>
        <w:rPr>
          <w:b/>
          <w:color w:val="000000" w:themeColor="text1"/>
        </w:rPr>
      </w:pPr>
      <w:r>
        <w:rPr>
          <w:b/>
          <w:color w:val="000000" w:themeColor="text1"/>
        </w:rPr>
        <w:t>What are the current requirements for non-EU citizens coming to the UK?</w:t>
      </w:r>
    </w:p>
    <w:p w14:paraId="5D8565B3" w14:textId="77777777" w:rsidR="007848A9" w:rsidRDefault="007848A9" w:rsidP="00DD5BCF">
      <w:pPr>
        <w:spacing w:after="0" w:line="240" w:lineRule="auto"/>
        <w:jc w:val="both"/>
        <w:rPr>
          <w:color w:val="000000" w:themeColor="text1"/>
        </w:rPr>
      </w:pPr>
    </w:p>
    <w:p w14:paraId="619B7012" w14:textId="77777777" w:rsidR="007848A9" w:rsidRDefault="007848A9" w:rsidP="007848A9">
      <w:pPr>
        <w:spacing w:after="0" w:line="240" w:lineRule="auto"/>
        <w:jc w:val="both"/>
      </w:pPr>
      <w:r>
        <w:t>If the UK introduced admission requirements for EU nationals after leaving the EU, the requirements for work visas would be particularly significant since a majority of EU nationals coming to the UK report doing so for work (</w:t>
      </w:r>
      <w:r w:rsidR="00154207">
        <w:t>71</w:t>
      </w:r>
      <w:r>
        <w:t xml:space="preserve">% in the year ending September 2015). The shares of EU nationals coming for study and family reasons are smaller, making up </w:t>
      </w:r>
      <w:r w:rsidRPr="007F4AAA">
        <w:t xml:space="preserve">16% </w:t>
      </w:r>
      <w:r>
        <w:t xml:space="preserve">and </w:t>
      </w:r>
      <w:r w:rsidRPr="007F4AAA">
        <w:t xml:space="preserve">8% </w:t>
      </w:r>
      <w:r>
        <w:t xml:space="preserve">respectively, in the </w:t>
      </w:r>
      <w:hyperlink r:id="rId10" w:history="1">
        <w:r w:rsidRPr="00B343F2">
          <w:rPr>
            <w:rStyle w:val="Hyperlink"/>
          </w:rPr>
          <w:t>year ending September 2015</w:t>
        </w:r>
      </w:hyperlink>
      <w:r>
        <w:t>.</w:t>
      </w:r>
    </w:p>
    <w:p w14:paraId="23275FE5" w14:textId="77777777" w:rsidR="007848A9" w:rsidRDefault="007848A9" w:rsidP="00DD5BCF">
      <w:pPr>
        <w:spacing w:after="0" w:line="240" w:lineRule="auto"/>
        <w:jc w:val="both"/>
        <w:rPr>
          <w:color w:val="000000" w:themeColor="text1"/>
        </w:rPr>
      </w:pPr>
    </w:p>
    <w:p w14:paraId="3896A99C" w14:textId="77777777" w:rsidR="00E30B4E" w:rsidRPr="002E23CE" w:rsidRDefault="002708D5" w:rsidP="00E30B4E">
      <w:pPr>
        <w:spacing w:after="0" w:line="240" w:lineRule="auto"/>
        <w:jc w:val="both"/>
      </w:pPr>
      <w:r>
        <w:t xml:space="preserve">The current UK immigration system for non-EU nationals places a strong emphasis on the skill level of the job the applicant is due to occupy when determining their eligibility to come to the UK for work. </w:t>
      </w:r>
      <w:r w:rsidR="00670626">
        <w:t xml:space="preserve">The main visa category </w:t>
      </w:r>
      <w:r w:rsidR="00E30B4E">
        <w:t>for labour migration</w:t>
      </w:r>
      <w:r w:rsidR="00670626">
        <w:t xml:space="preserve"> from outside of the EU is known as Tier 2</w:t>
      </w:r>
      <w:r w:rsidR="00594029">
        <w:t xml:space="preserve"> (</w:t>
      </w:r>
      <w:r w:rsidR="000D6A44">
        <w:t>G</w:t>
      </w:r>
      <w:r w:rsidR="00594029">
        <w:t>eneral), henceforth ‘Tier 2’ for simplicity</w:t>
      </w:r>
      <w:r w:rsidR="00670626">
        <w:t xml:space="preserve">. Tier 2 work visa holders must </w:t>
      </w:r>
      <w:r w:rsidR="0015113A">
        <w:t xml:space="preserve">by sponsored by a UK employer and must </w:t>
      </w:r>
      <w:r w:rsidR="00670626">
        <w:t>usually have a job offer in a graduate-level occupation, which is an occupation classed as skilled to National Qualifications Framework Level 6 (NQF6) or above. T</w:t>
      </w:r>
      <w:r w:rsidR="00670626" w:rsidRPr="00275893">
        <w:t xml:space="preserve">he </w:t>
      </w:r>
      <w:r w:rsidR="00670626">
        <w:t xml:space="preserve">overall </w:t>
      </w:r>
      <w:r w:rsidR="00670626" w:rsidRPr="00275893">
        <w:t xml:space="preserve">minimum salary required for a non-EU national to get a </w:t>
      </w:r>
      <w:r w:rsidR="00670626">
        <w:t xml:space="preserve">Tier 2 </w:t>
      </w:r>
      <w:r w:rsidR="00670626" w:rsidRPr="00275893">
        <w:t>work visa</w:t>
      </w:r>
      <w:r w:rsidR="00670626">
        <w:t xml:space="preserve"> is currently £20,800</w:t>
      </w:r>
      <w:r w:rsidR="00670626" w:rsidRPr="00275893">
        <w:t xml:space="preserve">. </w:t>
      </w:r>
      <w:r w:rsidR="00E30B4E" w:rsidRPr="00FE757C">
        <w:t xml:space="preserve">The minimum earnings required for a Tier 2 visa are higher than £20,800 for many occupations, however. The </w:t>
      </w:r>
      <w:r w:rsidR="00E30B4E" w:rsidRPr="00FE757C">
        <w:rPr>
          <w:rFonts w:cs="Arial"/>
        </w:rPr>
        <w:t xml:space="preserve">government </w:t>
      </w:r>
      <w:hyperlink r:id="rId11" w:history="1">
        <w:r w:rsidR="00E30B4E" w:rsidRPr="00E54DC7">
          <w:rPr>
            <w:rStyle w:val="Hyperlink"/>
            <w:rFonts w:cs="Arial"/>
          </w:rPr>
          <w:t xml:space="preserve">has </w:t>
        </w:r>
        <w:r w:rsidR="000D6A44">
          <w:rPr>
            <w:rStyle w:val="Hyperlink"/>
            <w:rFonts w:cs="Arial"/>
          </w:rPr>
          <w:t xml:space="preserve">also </w:t>
        </w:r>
        <w:r w:rsidR="00E30B4E" w:rsidRPr="00E54DC7">
          <w:rPr>
            <w:rStyle w:val="Hyperlink"/>
            <w:rFonts w:cs="Arial"/>
          </w:rPr>
          <w:t>announced</w:t>
        </w:r>
      </w:hyperlink>
      <w:r w:rsidR="00E30B4E" w:rsidRPr="00FE757C">
        <w:rPr>
          <w:rFonts w:cs="Arial"/>
        </w:rPr>
        <w:t xml:space="preserve"> it will raise </w:t>
      </w:r>
      <w:r w:rsidR="00E30B4E">
        <w:rPr>
          <w:rFonts w:cs="Arial"/>
        </w:rPr>
        <w:t>the main salary threshold to £30,000</w:t>
      </w:r>
      <w:r w:rsidR="00E30B4E" w:rsidRPr="00FE757C">
        <w:rPr>
          <w:rFonts w:cs="Arial"/>
        </w:rPr>
        <w:t xml:space="preserve"> by April 2017, following a recommendation from the Migration Advisory Committee. </w:t>
      </w:r>
      <w:r w:rsidR="00E30B4E">
        <w:rPr>
          <w:rFonts w:cs="Arial"/>
        </w:rPr>
        <w:t xml:space="preserve">The higher threshold will apply only to ‘experienced hires’; ‘new entrants’ (i.e. graduate recruits and people aged 25 or under) will continue to face the £20,800 threshold for the first three years of their Tier 2 employment. Certain public-sector jobs will also be exempt from the £30,000 threshold until 2019. A Tier 2 worker must have an employer who is a licensed sponsor and is willing to pay all relevant fees, including the £1,000 Immigration Skills Charge that has also recently </w:t>
      </w:r>
      <w:hyperlink r:id="rId12" w:history="1">
        <w:r w:rsidR="00E30B4E" w:rsidRPr="00E31CB3">
          <w:rPr>
            <w:rStyle w:val="Hyperlink"/>
            <w:rFonts w:cs="Arial"/>
          </w:rPr>
          <w:t>been announced</w:t>
        </w:r>
      </w:hyperlink>
      <w:r w:rsidR="00E30B4E">
        <w:rPr>
          <w:rFonts w:cs="Arial"/>
        </w:rPr>
        <w:t xml:space="preserve">. </w:t>
      </w:r>
    </w:p>
    <w:p w14:paraId="06F5A236" w14:textId="77777777" w:rsidR="00E30B4E" w:rsidRDefault="00E30B4E" w:rsidP="00670626">
      <w:pPr>
        <w:spacing w:after="0" w:line="240" w:lineRule="auto"/>
        <w:jc w:val="both"/>
      </w:pPr>
    </w:p>
    <w:p w14:paraId="185CB19C" w14:textId="77777777" w:rsidR="00CD4B45" w:rsidRDefault="00CD4B45" w:rsidP="00CD4B45">
      <w:pPr>
        <w:spacing w:after="0" w:line="240" w:lineRule="auto"/>
        <w:jc w:val="both"/>
      </w:pPr>
      <w:r>
        <w:rPr>
          <w:rFonts w:cs="Arial"/>
          <w:color w:val="000000"/>
        </w:rPr>
        <w:lastRenderedPageBreak/>
        <w:t xml:space="preserve">The requirement of working in a </w:t>
      </w:r>
      <w:r w:rsidRPr="00FE757C">
        <w:rPr>
          <w:rFonts w:cs="Arial"/>
        </w:rPr>
        <w:t>graduate level occupation</w:t>
      </w:r>
      <w:r>
        <w:rPr>
          <w:rFonts w:cs="Arial"/>
        </w:rPr>
        <w:t xml:space="preserve">, combined with the earnings thresholds, mean that most </w:t>
      </w:r>
      <w:r w:rsidR="00FB65EE">
        <w:rPr>
          <w:rFonts w:cs="Arial"/>
        </w:rPr>
        <w:t>jobs</w:t>
      </w:r>
      <w:r>
        <w:rPr>
          <w:rFonts w:cs="Arial"/>
        </w:rPr>
        <w:t xml:space="preserve"> in the UK labour market </w:t>
      </w:r>
      <w:r w:rsidR="00FB65EE">
        <w:rPr>
          <w:rFonts w:cs="Arial"/>
        </w:rPr>
        <w:t xml:space="preserve">do not </w:t>
      </w:r>
      <w:r>
        <w:rPr>
          <w:rFonts w:cs="Arial"/>
        </w:rPr>
        <w:t>currently qualify for Tier 2 visas</w:t>
      </w:r>
      <w:r w:rsidR="0096013F">
        <w:rPr>
          <w:rFonts w:cs="Arial"/>
        </w:rPr>
        <w:t>.</w:t>
      </w:r>
      <w:r>
        <w:rPr>
          <w:rFonts w:cs="Arial"/>
        </w:rPr>
        <w:t xml:space="preserve"> </w:t>
      </w:r>
    </w:p>
    <w:p w14:paraId="371665CB" w14:textId="77777777" w:rsidR="00CD4B45" w:rsidRDefault="00CD4B45" w:rsidP="00670626">
      <w:pPr>
        <w:spacing w:after="0" w:line="240" w:lineRule="auto"/>
        <w:jc w:val="both"/>
      </w:pPr>
    </w:p>
    <w:p w14:paraId="714BF875" w14:textId="77777777" w:rsidR="006929D1" w:rsidRDefault="006929D1" w:rsidP="006929D1">
      <w:pPr>
        <w:spacing w:after="0" w:line="240" w:lineRule="auto"/>
        <w:jc w:val="both"/>
      </w:pPr>
      <w:r>
        <w:t xml:space="preserve">Table 1 shows the share of jobs in each major occupation category that are classified as ‘graduate level’ in the UK immigration system. This includes </w:t>
      </w:r>
      <w:r w:rsidR="002241D5">
        <w:t xml:space="preserve">an estimated </w:t>
      </w:r>
      <w:r w:rsidR="00C72AF1" w:rsidRPr="002241D5">
        <w:t>63%</w:t>
      </w:r>
      <w:r w:rsidR="00CD4B45">
        <w:t xml:space="preserve"> </w:t>
      </w:r>
      <w:r>
        <w:t xml:space="preserve">of </w:t>
      </w:r>
      <w:r w:rsidR="00C72AF1">
        <w:t xml:space="preserve">jobs in </w:t>
      </w:r>
      <w:r>
        <w:t>managerial occupations,</w:t>
      </w:r>
      <w:r w:rsidR="002241D5">
        <w:t xml:space="preserve"> close to 100% of jobs in</w:t>
      </w:r>
      <w:r>
        <w:t xml:space="preserve"> professional </w:t>
      </w:r>
      <w:r w:rsidR="002241D5">
        <w:t xml:space="preserve">occupations and 23% of jobs in the “associate professional and </w:t>
      </w:r>
      <w:r>
        <w:t>technical</w:t>
      </w:r>
      <w:r w:rsidR="002241D5">
        <w:t>”</w:t>
      </w:r>
      <w:r>
        <w:t xml:space="preserve"> occupations</w:t>
      </w:r>
      <w:r w:rsidR="002241D5">
        <w:t xml:space="preserve"> category</w:t>
      </w:r>
      <w:r>
        <w:t xml:space="preserve">. </w:t>
      </w:r>
      <w:r w:rsidR="000D6A44">
        <w:t xml:space="preserve">By way of </w:t>
      </w:r>
      <w:r>
        <w:t xml:space="preserve">example, nurses and dentists are </w:t>
      </w:r>
      <w:hyperlink r:id="rId13" w:history="1">
        <w:r w:rsidRPr="003755DF">
          <w:rPr>
            <w:rStyle w:val="Hyperlink"/>
          </w:rPr>
          <w:t>classified as</w:t>
        </w:r>
      </w:hyperlink>
      <w:r>
        <w:t xml:space="preserve"> graduate-level occupations, while paramedics and dental technicians are associate professional/technical occupations that are not classified as graduate level. </w:t>
      </w:r>
      <w:r w:rsidR="0096013F">
        <w:t>Skilled tradespeople, such as plumbers, electricians and bricklayers are not classified as graduate occupations</w:t>
      </w:r>
      <w:r w:rsidR="0075197B">
        <w:t xml:space="preserve"> </w:t>
      </w:r>
      <w:r w:rsidR="00135026">
        <w:t>even if</w:t>
      </w:r>
      <w:r w:rsidR="002241D5">
        <w:t xml:space="preserve"> avera</w:t>
      </w:r>
      <w:r w:rsidR="00135026">
        <w:t>ge earnings in this category are</w:t>
      </w:r>
      <w:r w:rsidR="002241D5">
        <w:t xml:space="preserve"> above </w:t>
      </w:r>
      <w:r w:rsidR="0075197B">
        <w:t>£20,800</w:t>
      </w:r>
      <w:r w:rsidR="0096013F">
        <w:t xml:space="preserve">. </w:t>
      </w:r>
    </w:p>
    <w:p w14:paraId="0A8786EF" w14:textId="77777777" w:rsidR="006929D1" w:rsidRDefault="006929D1" w:rsidP="006929D1">
      <w:pPr>
        <w:spacing w:after="0" w:line="240" w:lineRule="auto"/>
        <w:jc w:val="both"/>
      </w:pPr>
    </w:p>
    <w:p w14:paraId="0C503DFE" w14:textId="3251DB07" w:rsidR="006929D1" w:rsidRPr="003C3BB8" w:rsidDel="00FD079E" w:rsidRDefault="006929D1" w:rsidP="006929D1">
      <w:pPr>
        <w:spacing w:after="0" w:line="240" w:lineRule="auto"/>
        <w:rPr>
          <w:b/>
        </w:rPr>
      </w:pPr>
      <w:r>
        <w:rPr>
          <w:b/>
        </w:rPr>
        <w:t>Table 1</w:t>
      </w:r>
      <w:r w:rsidRPr="003C3BB8" w:rsidDel="00FD079E">
        <w:rPr>
          <w:b/>
        </w:rPr>
        <w:t xml:space="preserve"> – Occu</w:t>
      </w:r>
      <w:r>
        <w:rPr>
          <w:b/>
        </w:rPr>
        <w:t>pational categories, skilled</w:t>
      </w:r>
      <w:r w:rsidR="00CB0A02">
        <w:rPr>
          <w:b/>
        </w:rPr>
        <w:t xml:space="preserve"> jobs and salaries of employees</w:t>
      </w:r>
      <w:r w:rsidR="00CD4B45">
        <w:rPr>
          <w:b/>
        </w:rPr>
        <w:t xml:space="preserve"> in the UK </w:t>
      </w:r>
    </w:p>
    <w:tbl>
      <w:tblPr>
        <w:tblW w:w="73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1220"/>
        <w:gridCol w:w="1318"/>
      </w:tblGrid>
      <w:tr w:rsidR="006929D1" w:rsidRPr="00EC24C5" w:rsidDel="00FD079E" w14:paraId="727B2174" w14:textId="77777777" w:rsidTr="006D6032">
        <w:trPr>
          <w:trHeight w:val="300"/>
        </w:trPr>
        <w:tc>
          <w:tcPr>
            <w:tcW w:w="4800" w:type="dxa"/>
            <w:shd w:val="clear" w:color="auto" w:fill="auto"/>
            <w:noWrap/>
            <w:vAlign w:val="bottom"/>
            <w:hideMark/>
          </w:tcPr>
          <w:p w14:paraId="7D66F177" w14:textId="77777777" w:rsidR="006929D1" w:rsidRPr="00EC24C5" w:rsidDel="00FD079E" w:rsidRDefault="006929D1" w:rsidP="006D6032">
            <w:pPr>
              <w:spacing w:after="0" w:line="240" w:lineRule="auto"/>
              <w:rPr>
                <w:rFonts w:ascii="Calibri" w:eastAsia="Times New Roman" w:hAnsi="Calibri" w:cs="Times New Roman"/>
                <w:b/>
                <w:bCs/>
                <w:color w:val="000000"/>
                <w:lang w:eastAsia="en-GB"/>
              </w:rPr>
            </w:pPr>
            <w:r w:rsidDel="00FD079E">
              <w:rPr>
                <w:rFonts w:ascii="Calibri" w:eastAsia="Times New Roman" w:hAnsi="Calibri" w:cs="Times New Roman"/>
                <w:b/>
                <w:bCs/>
                <w:color w:val="000000"/>
                <w:lang w:eastAsia="en-GB"/>
              </w:rPr>
              <w:t>Occupational category</w:t>
            </w:r>
          </w:p>
        </w:tc>
        <w:tc>
          <w:tcPr>
            <w:tcW w:w="1220" w:type="dxa"/>
            <w:shd w:val="clear" w:color="auto" w:fill="auto"/>
            <w:noWrap/>
            <w:vAlign w:val="center"/>
            <w:hideMark/>
          </w:tcPr>
          <w:p w14:paraId="714A6B46" w14:textId="77777777" w:rsidR="006929D1" w:rsidRDefault="006929D1" w:rsidP="006D603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Mean salary</w:t>
            </w:r>
          </w:p>
          <w:p w14:paraId="4F023ECF" w14:textId="77777777" w:rsidR="006929D1" w:rsidRPr="00EC24C5" w:rsidDel="00FD079E" w:rsidRDefault="006929D1" w:rsidP="006D603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1318" w:type="dxa"/>
            <w:vAlign w:val="center"/>
          </w:tcPr>
          <w:p w14:paraId="24307812" w14:textId="6184CD4D" w:rsidR="006929D1" w:rsidRPr="00EC24C5" w:rsidDel="00FD079E" w:rsidRDefault="006929D1" w:rsidP="00372CA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Share in graduate level occupations </w:t>
            </w:r>
          </w:p>
        </w:tc>
      </w:tr>
      <w:tr w:rsidR="006929D1" w:rsidRPr="00EC24C5" w:rsidDel="00FD079E" w14:paraId="62E88342" w14:textId="77777777" w:rsidTr="006D6032">
        <w:trPr>
          <w:trHeight w:val="300"/>
        </w:trPr>
        <w:tc>
          <w:tcPr>
            <w:tcW w:w="4800" w:type="dxa"/>
            <w:shd w:val="clear" w:color="auto" w:fill="auto"/>
            <w:noWrap/>
            <w:vAlign w:val="bottom"/>
            <w:hideMark/>
          </w:tcPr>
          <w:p w14:paraId="78BF53F3" w14:textId="77777777" w:rsidR="006929D1" w:rsidRPr="00EC24C5" w:rsidDel="00FD079E" w:rsidRDefault="006929D1" w:rsidP="006D6032">
            <w:pPr>
              <w:spacing w:after="0" w:line="240" w:lineRule="auto"/>
              <w:rPr>
                <w:rFonts w:ascii="Calibri" w:eastAsia="Times New Roman" w:hAnsi="Calibri" w:cs="Times New Roman"/>
                <w:color w:val="000000"/>
                <w:lang w:eastAsia="en-GB"/>
              </w:rPr>
            </w:pPr>
            <w:r w:rsidRPr="00EC24C5" w:rsidDel="00FD079E">
              <w:rPr>
                <w:rFonts w:ascii="Calibri" w:eastAsia="Times New Roman" w:hAnsi="Calibri" w:cs="Times New Roman"/>
                <w:color w:val="000000"/>
                <w:lang w:eastAsia="en-GB"/>
              </w:rPr>
              <w:t>Managers, Directors and Senior Officials</w:t>
            </w:r>
          </w:p>
        </w:tc>
        <w:tc>
          <w:tcPr>
            <w:tcW w:w="1220" w:type="dxa"/>
            <w:shd w:val="clear" w:color="auto" w:fill="auto"/>
            <w:noWrap/>
            <w:vAlign w:val="bottom"/>
          </w:tcPr>
          <w:p w14:paraId="5F04985F" w14:textId="77777777" w:rsidR="006929D1" w:rsidRPr="00C04746" w:rsidDel="00FD079E" w:rsidRDefault="00C64625"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44,000</w:t>
            </w:r>
          </w:p>
        </w:tc>
        <w:tc>
          <w:tcPr>
            <w:tcW w:w="1318" w:type="dxa"/>
            <w:vAlign w:val="bottom"/>
          </w:tcPr>
          <w:p w14:paraId="4E566188" w14:textId="77777777" w:rsidR="006929D1" w:rsidRPr="00C04746" w:rsidDel="00FD079E" w:rsidRDefault="002C4282"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63%</w:t>
            </w:r>
          </w:p>
        </w:tc>
      </w:tr>
      <w:tr w:rsidR="006929D1" w:rsidRPr="00EC24C5" w:rsidDel="00FD079E" w14:paraId="463B7E60" w14:textId="77777777" w:rsidTr="006D6032">
        <w:trPr>
          <w:trHeight w:val="300"/>
        </w:trPr>
        <w:tc>
          <w:tcPr>
            <w:tcW w:w="4800" w:type="dxa"/>
            <w:shd w:val="clear" w:color="auto" w:fill="auto"/>
            <w:noWrap/>
            <w:vAlign w:val="bottom"/>
            <w:hideMark/>
          </w:tcPr>
          <w:p w14:paraId="0D00678D" w14:textId="77777777" w:rsidR="006929D1" w:rsidRPr="00EC24C5" w:rsidDel="00FD079E" w:rsidRDefault="006929D1" w:rsidP="006D6032">
            <w:pPr>
              <w:spacing w:after="0" w:line="240" w:lineRule="auto"/>
              <w:rPr>
                <w:rFonts w:ascii="Calibri" w:eastAsia="Times New Roman" w:hAnsi="Calibri" w:cs="Times New Roman"/>
                <w:color w:val="000000"/>
                <w:lang w:eastAsia="en-GB"/>
              </w:rPr>
            </w:pPr>
            <w:r w:rsidRPr="00EC24C5" w:rsidDel="00FD079E">
              <w:rPr>
                <w:rFonts w:ascii="Calibri" w:eastAsia="Times New Roman" w:hAnsi="Calibri" w:cs="Times New Roman"/>
                <w:color w:val="000000"/>
                <w:lang w:eastAsia="en-GB"/>
              </w:rPr>
              <w:t>Professional</w:t>
            </w:r>
          </w:p>
        </w:tc>
        <w:tc>
          <w:tcPr>
            <w:tcW w:w="1220" w:type="dxa"/>
            <w:shd w:val="clear" w:color="auto" w:fill="auto"/>
            <w:noWrap/>
            <w:vAlign w:val="bottom"/>
          </w:tcPr>
          <w:p w14:paraId="63914744" w14:textId="77777777" w:rsidR="006929D1" w:rsidRPr="00C04746" w:rsidDel="00FD079E" w:rsidRDefault="00C64625"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37,000</w:t>
            </w:r>
          </w:p>
        </w:tc>
        <w:tc>
          <w:tcPr>
            <w:tcW w:w="1318" w:type="dxa"/>
            <w:vAlign w:val="bottom"/>
          </w:tcPr>
          <w:p w14:paraId="5767DAA3" w14:textId="77777777" w:rsidR="006929D1" w:rsidRPr="00C04746" w:rsidDel="00FD079E" w:rsidRDefault="002C4282"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100%</w:t>
            </w:r>
          </w:p>
        </w:tc>
      </w:tr>
      <w:tr w:rsidR="006929D1" w:rsidRPr="00EC24C5" w:rsidDel="00FD079E" w14:paraId="33F28054" w14:textId="77777777" w:rsidTr="006D6032">
        <w:trPr>
          <w:trHeight w:val="300"/>
        </w:trPr>
        <w:tc>
          <w:tcPr>
            <w:tcW w:w="4800" w:type="dxa"/>
            <w:shd w:val="clear" w:color="auto" w:fill="auto"/>
            <w:noWrap/>
            <w:vAlign w:val="bottom"/>
            <w:hideMark/>
          </w:tcPr>
          <w:p w14:paraId="736BF693" w14:textId="77777777" w:rsidR="006929D1" w:rsidRPr="00EC24C5" w:rsidDel="00FD079E" w:rsidRDefault="006929D1" w:rsidP="006D6032">
            <w:pPr>
              <w:spacing w:after="0" w:line="240" w:lineRule="auto"/>
              <w:rPr>
                <w:rFonts w:ascii="Calibri" w:eastAsia="Times New Roman" w:hAnsi="Calibri" w:cs="Times New Roman"/>
                <w:color w:val="000000"/>
                <w:lang w:eastAsia="en-GB"/>
              </w:rPr>
            </w:pPr>
            <w:r w:rsidRPr="00EC24C5" w:rsidDel="00FD079E">
              <w:rPr>
                <w:rFonts w:ascii="Calibri" w:eastAsia="Times New Roman" w:hAnsi="Calibri" w:cs="Times New Roman"/>
                <w:color w:val="000000"/>
                <w:lang w:eastAsia="en-GB"/>
              </w:rPr>
              <w:t>Assoc</w:t>
            </w:r>
            <w:r w:rsidDel="00FD079E">
              <w:rPr>
                <w:rFonts w:ascii="Calibri" w:eastAsia="Times New Roman" w:hAnsi="Calibri" w:cs="Times New Roman"/>
                <w:color w:val="000000"/>
                <w:lang w:eastAsia="en-GB"/>
              </w:rPr>
              <w:t>iate Professional and Technical</w:t>
            </w:r>
          </w:p>
        </w:tc>
        <w:tc>
          <w:tcPr>
            <w:tcW w:w="1220" w:type="dxa"/>
            <w:shd w:val="clear" w:color="auto" w:fill="auto"/>
            <w:noWrap/>
            <w:vAlign w:val="bottom"/>
          </w:tcPr>
          <w:p w14:paraId="0FDF4D1B" w14:textId="77777777" w:rsidR="006929D1" w:rsidRPr="00C04746" w:rsidDel="00FD079E" w:rsidRDefault="00C64625"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32,000</w:t>
            </w:r>
          </w:p>
        </w:tc>
        <w:tc>
          <w:tcPr>
            <w:tcW w:w="1318" w:type="dxa"/>
            <w:vAlign w:val="bottom"/>
          </w:tcPr>
          <w:p w14:paraId="049DC746" w14:textId="77777777" w:rsidR="006929D1" w:rsidRPr="00C04746" w:rsidDel="00FD079E" w:rsidRDefault="002C4282"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23%</w:t>
            </w:r>
          </w:p>
        </w:tc>
      </w:tr>
      <w:tr w:rsidR="006929D1" w:rsidRPr="00EC24C5" w:rsidDel="00FD079E" w14:paraId="513771E0" w14:textId="77777777" w:rsidTr="006D6032">
        <w:trPr>
          <w:trHeight w:val="300"/>
        </w:trPr>
        <w:tc>
          <w:tcPr>
            <w:tcW w:w="4800" w:type="dxa"/>
            <w:shd w:val="clear" w:color="auto" w:fill="auto"/>
            <w:noWrap/>
            <w:vAlign w:val="bottom"/>
            <w:hideMark/>
          </w:tcPr>
          <w:p w14:paraId="7931DD52" w14:textId="77777777" w:rsidR="006929D1" w:rsidRPr="00EC24C5" w:rsidDel="00FD079E" w:rsidRDefault="006929D1" w:rsidP="006D6032">
            <w:pPr>
              <w:spacing w:after="0" w:line="240" w:lineRule="auto"/>
              <w:rPr>
                <w:rFonts w:ascii="Calibri" w:eastAsia="Times New Roman" w:hAnsi="Calibri" w:cs="Times New Roman"/>
                <w:color w:val="000000"/>
                <w:lang w:eastAsia="en-GB"/>
              </w:rPr>
            </w:pPr>
            <w:r w:rsidRPr="00EC24C5" w:rsidDel="00FD079E">
              <w:rPr>
                <w:rFonts w:ascii="Calibri" w:eastAsia="Times New Roman" w:hAnsi="Calibri" w:cs="Times New Roman"/>
                <w:color w:val="000000"/>
                <w:lang w:eastAsia="en-GB"/>
              </w:rPr>
              <w:t>Administrative and Secretarial</w:t>
            </w:r>
          </w:p>
        </w:tc>
        <w:tc>
          <w:tcPr>
            <w:tcW w:w="1220" w:type="dxa"/>
            <w:shd w:val="clear" w:color="auto" w:fill="auto"/>
            <w:noWrap/>
            <w:vAlign w:val="bottom"/>
          </w:tcPr>
          <w:p w14:paraId="09048595" w14:textId="77777777" w:rsidR="006929D1" w:rsidRPr="00C04746" w:rsidDel="00FD079E" w:rsidRDefault="00C64625"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19,000</w:t>
            </w:r>
          </w:p>
        </w:tc>
        <w:tc>
          <w:tcPr>
            <w:tcW w:w="1318" w:type="dxa"/>
            <w:vAlign w:val="bottom"/>
          </w:tcPr>
          <w:p w14:paraId="0D856319" w14:textId="77777777" w:rsidR="006929D1" w:rsidRPr="00C04746" w:rsidDel="00FD079E" w:rsidRDefault="002C4282"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0</w:t>
            </w:r>
          </w:p>
        </w:tc>
      </w:tr>
      <w:tr w:rsidR="006929D1" w:rsidRPr="00EC24C5" w:rsidDel="00FD079E" w14:paraId="7B276766" w14:textId="77777777" w:rsidTr="006D6032">
        <w:trPr>
          <w:trHeight w:val="300"/>
        </w:trPr>
        <w:tc>
          <w:tcPr>
            <w:tcW w:w="4800" w:type="dxa"/>
            <w:shd w:val="clear" w:color="auto" w:fill="auto"/>
            <w:noWrap/>
            <w:vAlign w:val="bottom"/>
            <w:hideMark/>
          </w:tcPr>
          <w:p w14:paraId="57187644" w14:textId="77777777" w:rsidR="006929D1" w:rsidRPr="00EC24C5" w:rsidDel="00FD079E" w:rsidRDefault="006929D1" w:rsidP="006D6032">
            <w:pPr>
              <w:spacing w:after="0" w:line="240" w:lineRule="auto"/>
              <w:rPr>
                <w:rFonts w:ascii="Calibri" w:eastAsia="Times New Roman" w:hAnsi="Calibri" w:cs="Times New Roman"/>
                <w:color w:val="000000"/>
                <w:lang w:eastAsia="en-GB"/>
              </w:rPr>
            </w:pPr>
            <w:r w:rsidDel="00FD079E">
              <w:rPr>
                <w:rFonts w:ascii="Calibri" w:eastAsia="Times New Roman" w:hAnsi="Calibri" w:cs="Times New Roman"/>
                <w:color w:val="000000"/>
                <w:lang w:eastAsia="en-GB"/>
              </w:rPr>
              <w:t>Skilled Trades</w:t>
            </w:r>
          </w:p>
        </w:tc>
        <w:tc>
          <w:tcPr>
            <w:tcW w:w="1220" w:type="dxa"/>
            <w:shd w:val="clear" w:color="auto" w:fill="auto"/>
            <w:noWrap/>
            <w:vAlign w:val="bottom"/>
          </w:tcPr>
          <w:p w14:paraId="607DEB03" w14:textId="77777777" w:rsidR="006929D1" w:rsidRPr="00C04746" w:rsidDel="00FD079E" w:rsidRDefault="002C4282"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25,000</w:t>
            </w:r>
          </w:p>
        </w:tc>
        <w:tc>
          <w:tcPr>
            <w:tcW w:w="1318" w:type="dxa"/>
            <w:vAlign w:val="bottom"/>
          </w:tcPr>
          <w:p w14:paraId="59ADC9E6" w14:textId="77777777" w:rsidR="006929D1" w:rsidRPr="00C04746" w:rsidDel="00FD079E" w:rsidRDefault="006929D1"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0</w:t>
            </w:r>
          </w:p>
        </w:tc>
      </w:tr>
      <w:tr w:rsidR="006929D1" w:rsidRPr="00EC24C5" w:rsidDel="00FD079E" w14:paraId="4539DCCF" w14:textId="77777777" w:rsidTr="006D6032">
        <w:trPr>
          <w:trHeight w:val="300"/>
        </w:trPr>
        <w:tc>
          <w:tcPr>
            <w:tcW w:w="4800" w:type="dxa"/>
            <w:shd w:val="clear" w:color="auto" w:fill="auto"/>
            <w:noWrap/>
            <w:vAlign w:val="bottom"/>
            <w:hideMark/>
          </w:tcPr>
          <w:p w14:paraId="31B6B502" w14:textId="77777777" w:rsidR="006929D1" w:rsidRPr="00EC24C5" w:rsidDel="00FD079E" w:rsidRDefault="006929D1" w:rsidP="006D6032">
            <w:pPr>
              <w:spacing w:after="0" w:line="240" w:lineRule="auto"/>
              <w:rPr>
                <w:rFonts w:ascii="Calibri" w:eastAsia="Times New Roman" w:hAnsi="Calibri" w:cs="Times New Roman"/>
                <w:color w:val="000000"/>
                <w:lang w:eastAsia="en-GB"/>
              </w:rPr>
            </w:pPr>
            <w:r w:rsidRPr="00EC24C5" w:rsidDel="00FD079E">
              <w:rPr>
                <w:rFonts w:ascii="Calibri" w:eastAsia="Times New Roman" w:hAnsi="Calibri" w:cs="Times New Roman"/>
                <w:color w:val="000000"/>
                <w:lang w:eastAsia="en-GB"/>
              </w:rPr>
              <w:t>Caring, Leisure and Other Service</w:t>
            </w:r>
          </w:p>
        </w:tc>
        <w:tc>
          <w:tcPr>
            <w:tcW w:w="1220" w:type="dxa"/>
            <w:shd w:val="clear" w:color="auto" w:fill="auto"/>
            <w:noWrap/>
            <w:vAlign w:val="bottom"/>
          </w:tcPr>
          <w:p w14:paraId="494AD86E" w14:textId="77777777" w:rsidR="006929D1" w:rsidRPr="00C04746" w:rsidDel="00FD079E" w:rsidRDefault="002C4282"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14,000</w:t>
            </w:r>
          </w:p>
        </w:tc>
        <w:tc>
          <w:tcPr>
            <w:tcW w:w="1318" w:type="dxa"/>
            <w:vAlign w:val="bottom"/>
          </w:tcPr>
          <w:p w14:paraId="575DD178" w14:textId="77777777" w:rsidR="006929D1" w:rsidRPr="00C04746" w:rsidDel="00FD079E" w:rsidRDefault="006929D1"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0</w:t>
            </w:r>
          </w:p>
        </w:tc>
      </w:tr>
      <w:tr w:rsidR="006929D1" w:rsidRPr="00EC24C5" w:rsidDel="00FD079E" w14:paraId="6C3ED634" w14:textId="77777777" w:rsidTr="006D6032">
        <w:trPr>
          <w:trHeight w:val="300"/>
        </w:trPr>
        <w:tc>
          <w:tcPr>
            <w:tcW w:w="4800" w:type="dxa"/>
            <w:shd w:val="clear" w:color="auto" w:fill="auto"/>
            <w:noWrap/>
            <w:vAlign w:val="bottom"/>
            <w:hideMark/>
          </w:tcPr>
          <w:p w14:paraId="57D8C079" w14:textId="77777777" w:rsidR="006929D1" w:rsidRPr="00EC24C5" w:rsidDel="00FD079E" w:rsidRDefault="006929D1" w:rsidP="006D6032">
            <w:pPr>
              <w:spacing w:after="0" w:line="240" w:lineRule="auto"/>
              <w:rPr>
                <w:rFonts w:ascii="Calibri" w:eastAsia="Times New Roman" w:hAnsi="Calibri" w:cs="Times New Roman"/>
                <w:color w:val="000000"/>
                <w:lang w:eastAsia="en-GB"/>
              </w:rPr>
            </w:pPr>
            <w:r w:rsidRPr="00EC24C5" w:rsidDel="00FD079E">
              <w:rPr>
                <w:rFonts w:ascii="Calibri" w:eastAsia="Times New Roman" w:hAnsi="Calibri" w:cs="Times New Roman"/>
                <w:color w:val="000000"/>
                <w:lang w:eastAsia="en-GB"/>
              </w:rPr>
              <w:t xml:space="preserve">Sales </w:t>
            </w:r>
            <w:r w:rsidDel="00FD079E">
              <w:rPr>
                <w:rFonts w:ascii="Calibri" w:eastAsia="Times New Roman" w:hAnsi="Calibri" w:cs="Times New Roman"/>
                <w:color w:val="000000"/>
                <w:lang w:eastAsia="en-GB"/>
              </w:rPr>
              <w:t>and Customer Service</w:t>
            </w:r>
          </w:p>
        </w:tc>
        <w:tc>
          <w:tcPr>
            <w:tcW w:w="1220" w:type="dxa"/>
            <w:shd w:val="clear" w:color="auto" w:fill="auto"/>
            <w:noWrap/>
            <w:vAlign w:val="bottom"/>
          </w:tcPr>
          <w:p w14:paraId="315CC28A" w14:textId="77777777" w:rsidR="006929D1" w:rsidRPr="00C04746" w:rsidDel="00FD079E" w:rsidRDefault="002C4282"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13,000</w:t>
            </w:r>
          </w:p>
        </w:tc>
        <w:tc>
          <w:tcPr>
            <w:tcW w:w="1318" w:type="dxa"/>
            <w:vAlign w:val="bottom"/>
          </w:tcPr>
          <w:p w14:paraId="4EA00724" w14:textId="77777777" w:rsidR="006929D1" w:rsidRPr="00C04746" w:rsidDel="00FD079E" w:rsidRDefault="006929D1"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0</w:t>
            </w:r>
          </w:p>
        </w:tc>
      </w:tr>
      <w:tr w:rsidR="006929D1" w:rsidRPr="00EC24C5" w:rsidDel="00FD079E" w14:paraId="194B80DA" w14:textId="77777777" w:rsidTr="006D6032">
        <w:trPr>
          <w:trHeight w:val="300"/>
        </w:trPr>
        <w:tc>
          <w:tcPr>
            <w:tcW w:w="4800" w:type="dxa"/>
            <w:shd w:val="clear" w:color="auto" w:fill="auto"/>
            <w:noWrap/>
            <w:vAlign w:val="bottom"/>
            <w:hideMark/>
          </w:tcPr>
          <w:p w14:paraId="41AC78D5" w14:textId="77777777" w:rsidR="006929D1" w:rsidRPr="00EC24C5" w:rsidDel="00FD079E" w:rsidRDefault="006929D1" w:rsidP="006D6032">
            <w:pPr>
              <w:spacing w:after="0" w:line="240" w:lineRule="auto"/>
              <w:rPr>
                <w:rFonts w:ascii="Calibri" w:eastAsia="Times New Roman" w:hAnsi="Calibri" w:cs="Times New Roman"/>
                <w:color w:val="000000"/>
                <w:lang w:eastAsia="en-GB"/>
              </w:rPr>
            </w:pPr>
            <w:r w:rsidRPr="00EC24C5" w:rsidDel="00FD079E">
              <w:rPr>
                <w:rFonts w:ascii="Calibri" w:eastAsia="Times New Roman" w:hAnsi="Calibri" w:cs="Times New Roman"/>
                <w:color w:val="000000"/>
                <w:lang w:eastAsia="en-GB"/>
              </w:rPr>
              <w:t>Process, Plant and Machine Operatives</w:t>
            </w:r>
          </w:p>
        </w:tc>
        <w:tc>
          <w:tcPr>
            <w:tcW w:w="1220" w:type="dxa"/>
            <w:shd w:val="clear" w:color="auto" w:fill="auto"/>
            <w:noWrap/>
            <w:vAlign w:val="bottom"/>
          </w:tcPr>
          <w:p w14:paraId="10A46B9B" w14:textId="77777777" w:rsidR="006929D1" w:rsidRPr="00C04746" w:rsidDel="00FD079E" w:rsidRDefault="002C4282"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23,000</w:t>
            </w:r>
          </w:p>
        </w:tc>
        <w:tc>
          <w:tcPr>
            <w:tcW w:w="1318" w:type="dxa"/>
            <w:vAlign w:val="bottom"/>
          </w:tcPr>
          <w:p w14:paraId="0EC0E630" w14:textId="77777777" w:rsidR="006929D1" w:rsidRPr="00C04746" w:rsidDel="00FD079E" w:rsidRDefault="006929D1"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0</w:t>
            </w:r>
          </w:p>
        </w:tc>
      </w:tr>
      <w:tr w:rsidR="006929D1" w:rsidRPr="00EC24C5" w:rsidDel="00FD079E" w14:paraId="3545CBD6" w14:textId="77777777" w:rsidTr="006D6032">
        <w:trPr>
          <w:trHeight w:val="300"/>
        </w:trPr>
        <w:tc>
          <w:tcPr>
            <w:tcW w:w="4800" w:type="dxa"/>
            <w:shd w:val="clear" w:color="auto" w:fill="auto"/>
            <w:noWrap/>
            <w:vAlign w:val="bottom"/>
            <w:hideMark/>
          </w:tcPr>
          <w:p w14:paraId="009AF4A1" w14:textId="77777777" w:rsidR="006929D1" w:rsidRPr="00EC24C5" w:rsidDel="00FD079E" w:rsidRDefault="006929D1" w:rsidP="006D603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Elementary</w:t>
            </w:r>
          </w:p>
        </w:tc>
        <w:tc>
          <w:tcPr>
            <w:tcW w:w="1220" w:type="dxa"/>
            <w:shd w:val="clear" w:color="auto" w:fill="auto"/>
            <w:noWrap/>
            <w:vAlign w:val="bottom"/>
          </w:tcPr>
          <w:p w14:paraId="53A77843" w14:textId="77777777" w:rsidR="006929D1" w:rsidRPr="00C04746" w:rsidDel="00FD079E" w:rsidRDefault="002C4282"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12,000</w:t>
            </w:r>
          </w:p>
        </w:tc>
        <w:tc>
          <w:tcPr>
            <w:tcW w:w="1318" w:type="dxa"/>
            <w:vAlign w:val="bottom"/>
          </w:tcPr>
          <w:p w14:paraId="5ABD8FE3" w14:textId="77777777" w:rsidR="006929D1" w:rsidRPr="00C04746" w:rsidDel="00FD079E" w:rsidRDefault="006929D1" w:rsidP="00C04746">
            <w:pPr>
              <w:spacing w:after="0" w:line="240" w:lineRule="auto"/>
              <w:jc w:val="center"/>
              <w:rPr>
                <w:rFonts w:ascii="Calibri" w:eastAsia="Times New Roman" w:hAnsi="Calibri" w:cs="Times New Roman"/>
                <w:color w:val="000000"/>
                <w:lang w:eastAsia="en-GB"/>
              </w:rPr>
            </w:pPr>
            <w:r w:rsidRPr="00C04746">
              <w:rPr>
                <w:rFonts w:ascii="Calibri" w:hAnsi="Calibri"/>
                <w:color w:val="000000"/>
              </w:rPr>
              <w:t>0</w:t>
            </w:r>
          </w:p>
        </w:tc>
      </w:tr>
      <w:tr w:rsidR="001373C7" w:rsidRPr="00EC24C5" w:rsidDel="00FD079E" w14:paraId="726D2783" w14:textId="77777777" w:rsidTr="006D6032">
        <w:trPr>
          <w:trHeight w:val="300"/>
        </w:trPr>
        <w:tc>
          <w:tcPr>
            <w:tcW w:w="4800" w:type="dxa"/>
            <w:shd w:val="clear" w:color="auto" w:fill="auto"/>
            <w:noWrap/>
            <w:vAlign w:val="bottom"/>
          </w:tcPr>
          <w:p w14:paraId="51A99873" w14:textId="77777777" w:rsidR="001373C7" w:rsidRPr="001373C7" w:rsidRDefault="001373C7" w:rsidP="006D6032">
            <w:pPr>
              <w:spacing w:after="0" w:line="240" w:lineRule="auto"/>
              <w:rPr>
                <w:rFonts w:ascii="Calibri" w:eastAsia="Times New Roman" w:hAnsi="Calibri" w:cs="Times New Roman"/>
                <w:color w:val="000000"/>
                <w:highlight w:val="yellow"/>
                <w:lang w:eastAsia="en-GB"/>
              </w:rPr>
            </w:pPr>
            <w:r w:rsidRPr="00C04746">
              <w:rPr>
                <w:rFonts w:ascii="Calibri" w:eastAsia="Times New Roman" w:hAnsi="Calibri" w:cs="Times New Roman"/>
                <w:color w:val="000000"/>
                <w:lang w:eastAsia="en-GB"/>
              </w:rPr>
              <w:t>All occupations</w:t>
            </w:r>
          </w:p>
        </w:tc>
        <w:tc>
          <w:tcPr>
            <w:tcW w:w="1220" w:type="dxa"/>
            <w:shd w:val="clear" w:color="auto" w:fill="auto"/>
            <w:noWrap/>
            <w:vAlign w:val="bottom"/>
          </w:tcPr>
          <w:p w14:paraId="724A4718" w14:textId="77777777" w:rsidR="001373C7" w:rsidRPr="00C04746" w:rsidRDefault="002C4282" w:rsidP="00C04746">
            <w:pPr>
              <w:spacing w:after="0" w:line="240" w:lineRule="auto"/>
              <w:jc w:val="center"/>
              <w:rPr>
                <w:rFonts w:ascii="Calibri" w:hAnsi="Calibri"/>
                <w:color w:val="000000"/>
              </w:rPr>
            </w:pPr>
            <w:r w:rsidRPr="00C04746">
              <w:rPr>
                <w:rFonts w:ascii="Calibri" w:hAnsi="Calibri"/>
                <w:color w:val="000000"/>
              </w:rPr>
              <w:t>26,000</w:t>
            </w:r>
          </w:p>
        </w:tc>
        <w:tc>
          <w:tcPr>
            <w:tcW w:w="1318" w:type="dxa"/>
            <w:vAlign w:val="bottom"/>
          </w:tcPr>
          <w:p w14:paraId="26966353" w14:textId="77777777" w:rsidR="001373C7" w:rsidRPr="00C04746" w:rsidRDefault="002C4282" w:rsidP="00C04746">
            <w:pPr>
              <w:spacing w:after="0" w:line="240" w:lineRule="auto"/>
              <w:jc w:val="center"/>
              <w:rPr>
                <w:rFonts w:ascii="Calibri" w:hAnsi="Calibri"/>
                <w:color w:val="000000"/>
              </w:rPr>
            </w:pPr>
            <w:r w:rsidRPr="00C04746">
              <w:rPr>
                <w:rFonts w:ascii="Calibri" w:hAnsi="Calibri"/>
                <w:color w:val="000000"/>
              </w:rPr>
              <w:t>30%</w:t>
            </w:r>
          </w:p>
        </w:tc>
      </w:tr>
    </w:tbl>
    <w:p w14:paraId="6091CDEA" w14:textId="77777777" w:rsidR="006929D1" w:rsidRPr="000D6A44" w:rsidRDefault="006929D1" w:rsidP="006929D1">
      <w:pPr>
        <w:spacing w:after="0" w:line="240" w:lineRule="auto"/>
        <w:jc w:val="both"/>
        <w:rPr>
          <w:rFonts w:cs="Arial"/>
          <w:color w:val="000000"/>
          <w:sz w:val="18"/>
          <w:szCs w:val="18"/>
        </w:rPr>
      </w:pPr>
      <w:r w:rsidRPr="000D6A44">
        <w:rPr>
          <w:sz w:val="18"/>
          <w:szCs w:val="18"/>
        </w:rPr>
        <w:t xml:space="preserve">Notes: based on analysis of the LFS 2015: </w:t>
      </w:r>
      <w:r w:rsidRPr="00C04746">
        <w:rPr>
          <w:sz w:val="18"/>
          <w:szCs w:val="18"/>
        </w:rPr>
        <w:t>Q1-Q4. Includes both full-time and part-time employees</w:t>
      </w:r>
      <w:r w:rsidR="00CD4B45" w:rsidRPr="00C04746">
        <w:rPr>
          <w:sz w:val="18"/>
          <w:szCs w:val="18"/>
        </w:rPr>
        <w:t xml:space="preserve"> working in the UK (all nationalities and countries of birth)</w:t>
      </w:r>
      <w:r w:rsidRPr="00C04746">
        <w:rPr>
          <w:sz w:val="18"/>
          <w:szCs w:val="18"/>
        </w:rPr>
        <w:t>.</w:t>
      </w:r>
      <w:r w:rsidRPr="00C04746">
        <w:rPr>
          <w:rFonts w:cs="Arial"/>
          <w:color w:val="000000"/>
          <w:sz w:val="18"/>
          <w:szCs w:val="18"/>
        </w:rPr>
        <w:t xml:space="preserve"> Grad</w:t>
      </w:r>
      <w:r w:rsidRPr="000D6A44">
        <w:rPr>
          <w:rFonts w:cs="Arial"/>
          <w:color w:val="000000"/>
          <w:sz w:val="18"/>
          <w:szCs w:val="18"/>
        </w:rPr>
        <w:t xml:space="preserve">uate-level jobs are defined using the 4-digit Standard Occupational Classification (SOC) from the government’s </w:t>
      </w:r>
      <w:hyperlink r:id="rId14" w:history="1">
        <w:r w:rsidRPr="000D6A44">
          <w:rPr>
            <w:rStyle w:val="Hyperlink"/>
            <w:rFonts w:cs="Arial"/>
            <w:sz w:val="18"/>
            <w:szCs w:val="18"/>
          </w:rPr>
          <w:t>Codes of Practice for</w:t>
        </w:r>
      </w:hyperlink>
      <w:r w:rsidRPr="000D6A44">
        <w:rPr>
          <w:rFonts w:cs="Arial"/>
          <w:color w:val="000000"/>
          <w:sz w:val="18"/>
          <w:szCs w:val="18"/>
        </w:rPr>
        <w:t xml:space="preserve"> Tier 2 visas. </w:t>
      </w:r>
    </w:p>
    <w:p w14:paraId="549577A1" w14:textId="77777777" w:rsidR="006929D1" w:rsidRDefault="006929D1" w:rsidP="006929D1">
      <w:pPr>
        <w:spacing w:after="0" w:line="240" w:lineRule="auto"/>
      </w:pPr>
    </w:p>
    <w:p w14:paraId="051B2B5E" w14:textId="77777777" w:rsidR="0096013F" w:rsidRDefault="0096013F" w:rsidP="006929D1">
      <w:pPr>
        <w:spacing w:after="0" w:line="240" w:lineRule="auto"/>
      </w:pPr>
      <w:r>
        <w:t>A small number of non-graduate level jobs</w:t>
      </w:r>
      <w:r w:rsidR="0075197B">
        <w:t xml:space="preserve">—such as paramedics—are </w:t>
      </w:r>
      <w:r>
        <w:t xml:space="preserve">classified as “shortage occupations” and thus can qualify for Tier 2 visas. </w:t>
      </w:r>
      <w:r w:rsidRPr="00CE4E92">
        <w:rPr>
          <w:rFonts w:cs="Arial"/>
          <w:color w:val="000000"/>
        </w:rPr>
        <w:t xml:space="preserve">The </w:t>
      </w:r>
      <w:hyperlink r:id="rId15" w:history="1">
        <w:r w:rsidRPr="00E31CB3">
          <w:rPr>
            <w:rStyle w:val="Hyperlink"/>
            <w:rFonts w:cs="Arial"/>
          </w:rPr>
          <w:t>shortage occupation list</w:t>
        </w:r>
      </w:hyperlink>
      <w:r w:rsidRPr="00CE4E92">
        <w:rPr>
          <w:rFonts w:cs="Arial"/>
          <w:color w:val="000000"/>
        </w:rPr>
        <w:t xml:space="preserve"> is a list of occupations for which the </w:t>
      </w:r>
      <w:r>
        <w:rPr>
          <w:rFonts w:cs="Arial"/>
          <w:color w:val="000000"/>
        </w:rPr>
        <w:t>government</w:t>
      </w:r>
      <w:r w:rsidRPr="00CE4E92">
        <w:rPr>
          <w:rFonts w:cs="Arial"/>
          <w:color w:val="000000"/>
        </w:rPr>
        <w:t xml:space="preserve"> considers that there are not enough </w:t>
      </w:r>
      <w:r>
        <w:rPr>
          <w:rFonts w:cs="Arial"/>
          <w:color w:val="000000"/>
        </w:rPr>
        <w:t>EEA</w:t>
      </w:r>
      <w:r w:rsidRPr="00CE4E92">
        <w:rPr>
          <w:rFonts w:cs="Arial"/>
          <w:color w:val="000000"/>
        </w:rPr>
        <w:t xml:space="preserve"> workers to fill current vaca</w:t>
      </w:r>
      <w:r>
        <w:rPr>
          <w:rFonts w:cs="Arial"/>
          <w:color w:val="000000"/>
        </w:rPr>
        <w:t xml:space="preserve">ncies. </w:t>
      </w:r>
      <w:r w:rsidR="0075197B">
        <w:rPr>
          <w:rFonts w:cs="Arial"/>
          <w:color w:val="000000"/>
        </w:rPr>
        <w:t xml:space="preserve">However, the number of non-graduate occupations on the shortage list is small and usually limited to particular job titles rather than whole occupations </w:t>
      </w:r>
      <w:r>
        <w:t xml:space="preserve">(for example, high-integrity pipe welders and certain skilled or specialist chefs). </w:t>
      </w:r>
    </w:p>
    <w:p w14:paraId="7E5B5A62" w14:textId="77777777" w:rsidR="00E30B4E" w:rsidRDefault="00E30B4E" w:rsidP="00670626">
      <w:pPr>
        <w:spacing w:after="0" w:line="240" w:lineRule="auto"/>
        <w:jc w:val="both"/>
      </w:pPr>
    </w:p>
    <w:p w14:paraId="11A76C5F" w14:textId="77777777" w:rsidR="006D6032" w:rsidRDefault="005A068F" w:rsidP="005A068F">
      <w:pPr>
        <w:spacing w:after="0" w:line="240" w:lineRule="auto"/>
        <w:jc w:val="both"/>
      </w:pPr>
      <w:r w:rsidRPr="00C04746">
        <w:t xml:space="preserve">Figure </w:t>
      </w:r>
      <w:r w:rsidR="001373C7" w:rsidRPr="00C04746">
        <w:t>1</w:t>
      </w:r>
      <w:r w:rsidRPr="00C04746">
        <w:t xml:space="preserve"> </w:t>
      </w:r>
      <w:r w:rsidR="001373C7" w:rsidRPr="00C04746">
        <w:t xml:space="preserve">shows </w:t>
      </w:r>
      <w:r w:rsidRPr="00C04746">
        <w:t xml:space="preserve">the share of </w:t>
      </w:r>
      <w:r w:rsidR="001373C7" w:rsidRPr="00C04746">
        <w:t xml:space="preserve">workers in the UK labour market </w:t>
      </w:r>
      <w:r w:rsidRPr="00C04746">
        <w:t xml:space="preserve">who </w:t>
      </w:r>
      <w:r w:rsidR="001373C7" w:rsidRPr="00C04746">
        <w:t xml:space="preserve">were in graduate-level jobs </w:t>
      </w:r>
      <w:r w:rsidR="001373C7" w:rsidRPr="00C04746">
        <w:rPr>
          <w:i/>
        </w:rPr>
        <w:t>and</w:t>
      </w:r>
      <w:r w:rsidR="001373C7">
        <w:rPr>
          <w:i/>
        </w:rPr>
        <w:t xml:space="preserve"> </w:t>
      </w:r>
      <w:r w:rsidR="001373C7">
        <w:t xml:space="preserve">were also earning above </w:t>
      </w:r>
      <w:r w:rsidR="00154207">
        <w:t xml:space="preserve">two </w:t>
      </w:r>
      <w:r>
        <w:t xml:space="preserve">different </w:t>
      </w:r>
      <w:r w:rsidR="001373C7" w:rsidDel="001373C7">
        <w:t xml:space="preserve"> </w:t>
      </w:r>
      <w:r>
        <w:t xml:space="preserve">earnings thresholds in 2015. </w:t>
      </w:r>
      <w:r w:rsidR="001373C7">
        <w:t xml:space="preserve">The first threshold is £20,000, or approximately the level of the current earnings requirement for Tier 2 visas. The second threshold is £30,000, </w:t>
      </w:r>
      <w:r w:rsidR="006D6032">
        <w:t xml:space="preserve">which is the planned future </w:t>
      </w:r>
      <w:r w:rsidR="00FB65EE">
        <w:t>earnings requirement</w:t>
      </w:r>
      <w:r w:rsidR="006D6032">
        <w:t xml:space="preserve"> described above. </w:t>
      </w:r>
    </w:p>
    <w:p w14:paraId="5EF53B45" w14:textId="77777777" w:rsidR="006D6032" w:rsidRDefault="006D6032" w:rsidP="005A068F">
      <w:pPr>
        <w:spacing w:after="0" w:line="240" w:lineRule="auto"/>
        <w:jc w:val="both"/>
      </w:pPr>
    </w:p>
    <w:p w14:paraId="00EFC034" w14:textId="77777777" w:rsidR="006D6032" w:rsidRDefault="005A068F" w:rsidP="006D6032">
      <w:pPr>
        <w:spacing w:after="0" w:line="240" w:lineRule="auto"/>
        <w:jc w:val="both"/>
        <w:rPr>
          <w:rFonts w:ascii="Calibri" w:eastAsia="Times New Roman" w:hAnsi="Calibri" w:cs="Times New Roman"/>
          <w:color w:val="000000"/>
          <w:lang w:eastAsia="en-GB"/>
        </w:rPr>
      </w:pPr>
      <w:r w:rsidRPr="00C11222">
        <w:t xml:space="preserve">Close to </w:t>
      </w:r>
      <w:r w:rsidR="002241D5" w:rsidRPr="00C11222">
        <w:t>25</w:t>
      </w:r>
      <w:r w:rsidRPr="00C11222">
        <w:t xml:space="preserve">% of </w:t>
      </w:r>
      <w:r w:rsidR="006D6032" w:rsidRPr="00C11222">
        <w:t xml:space="preserve">employees in the UK labour market </w:t>
      </w:r>
      <w:r w:rsidRPr="00C11222">
        <w:t>earned more than £20,000 and were in graduate level occupations</w:t>
      </w:r>
      <w:r w:rsidR="00747F31" w:rsidRPr="00C11222">
        <w:t xml:space="preserve"> in 2015</w:t>
      </w:r>
      <w:r w:rsidRPr="00C11222">
        <w:t xml:space="preserve">. This share decreases to </w:t>
      </w:r>
      <w:r w:rsidR="002241D5" w:rsidRPr="00C11222">
        <w:t>19</w:t>
      </w:r>
      <w:r w:rsidRPr="00C11222">
        <w:t>% if we look at those in graduate level occupations who earned more than £30,000. None of the jobs that are not in the managerial or professional categories in</w:t>
      </w:r>
      <w:r>
        <w:t xml:space="preserve"> </w:t>
      </w:r>
      <w:r w:rsidR="00C04746">
        <w:t>Table 1</w:t>
      </w:r>
      <w:r>
        <w:t xml:space="preserve"> meet the graduate-level job classification</w:t>
      </w:r>
      <w:r w:rsidR="006D6032">
        <w:t>.</w:t>
      </w:r>
      <w:r>
        <w:t xml:space="preserve"> </w:t>
      </w:r>
      <w:r w:rsidR="006D6032">
        <w:t xml:space="preserve">As noted earlier, </w:t>
      </w:r>
      <w:r>
        <w:t>a small number of skilled-trades positions currently appear on the shortage occupation list</w:t>
      </w:r>
      <w:r w:rsidR="006D6032">
        <w:t xml:space="preserve">, but we do not include shortage occupations in the data analysis </w:t>
      </w:r>
      <w:r w:rsidR="00FB65EE">
        <w:t xml:space="preserve">in this report; this is </w:t>
      </w:r>
      <w:r w:rsidR="006D6032">
        <w:t xml:space="preserve">because they are subject to </w:t>
      </w:r>
      <w:r w:rsidR="006D6032">
        <w:lastRenderedPageBreak/>
        <w:t xml:space="preserve">change over time and </w:t>
      </w:r>
      <w:r w:rsidR="00FB65EE">
        <w:t>because</w:t>
      </w:r>
      <w:r w:rsidR="006D6032">
        <w:t xml:space="preserve"> </w:t>
      </w:r>
      <w:r w:rsidR="00FB65EE">
        <w:t xml:space="preserve">most are </w:t>
      </w:r>
      <w:r w:rsidR="006D6032">
        <w:t>specific job titles rather than whole occupations</w:t>
      </w:r>
      <w:r w:rsidR="00FB65EE">
        <w:t xml:space="preserve"> that can be analysed using the Labour Force Survey</w:t>
      </w:r>
      <w:r>
        <w:t>.</w:t>
      </w:r>
      <w:r w:rsidR="006D6032" w:rsidDel="006D6032">
        <w:rPr>
          <w:rFonts w:ascii="Calibri" w:eastAsia="Times New Roman" w:hAnsi="Calibri" w:cs="Times New Roman"/>
          <w:color w:val="000000"/>
          <w:lang w:eastAsia="en-GB"/>
        </w:rPr>
        <w:t xml:space="preserve"> </w:t>
      </w:r>
    </w:p>
    <w:p w14:paraId="08AD4138" w14:textId="77777777" w:rsidR="005A068F" w:rsidRDefault="005A068F" w:rsidP="005A068F">
      <w:pPr>
        <w:spacing w:after="0" w:line="240" w:lineRule="auto"/>
        <w:jc w:val="both"/>
      </w:pPr>
    </w:p>
    <w:p w14:paraId="79ABA8E7" w14:textId="229B8E03" w:rsidR="005A068F" w:rsidRDefault="005A068F" w:rsidP="005A068F">
      <w:pPr>
        <w:spacing w:after="0" w:line="240" w:lineRule="auto"/>
        <w:rPr>
          <w:b/>
        </w:rPr>
      </w:pPr>
      <w:r w:rsidRPr="003C3BB8">
        <w:rPr>
          <w:b/>
        </w:rPr>
        <w:t xml:space="preserve">Figure </w:t>
      </w:r>
      <w:r w:rsidR="001373C7">
        <w:rPr>
          <w:b/>
        </w:rPr>
        <w:t>1</w:t>
      </w:r>
      <w:r w:rsidRPr="003C3BB8">
        <w:rPr>
          <w:b/>
        </w:rPr>
        <w:t xml:space="preserve"> </w:t>
      </w:r>
      <w:r>
        <w:rPr>
          <w:b/>
        </w:rPr>
        <w:t xml:space="preserve">– Share </w:t>
      </w:r>
      <w:r w:rsidR="002241D5" w:rsidRPr="00C04746">
        <w:rPr>
          <w:b/>
        </w:rPr>
        <w:t xml:space="preserve">(%) </w:t>
      </w:r>
      <w:r w:rsidRPr="00C04746">
        <w:rPr>
          <w:b/>
        </w:rPr>
        <w:t xml:space="preserve">of </w:t>
      </w:r>
      <w:r w:rsidR="006D6032" w:rsidRPr="00C04746">
        <w:rPr>
          <w:b/>
        </w:rPr>
        <w:t xml:space="preserve">employees in the UK labour market </w:t>
      </w:r>
      <w:r w:rsidR="00544401">
        <w:rPr>
          <w:b/>
        </w:rPr>
        <w:t xml:space="preserve">who are </w:t>
      </w:r>
      <w:r w:rsidRPr="00C04746">
        <w:rPr>
          <w:b/>
        </w:rPr>
        <w:t>working</w:t>
      </w:r>
      <w:r>
        <w:rPr>
          <w:b/>
        </w:rPr>
        <w:t xml:space="preserve"> in grad</w:t>
      </w:r>
      <w:r w:rsidR="00EA003E">
        <w:rPr>
          <w:b/>
        </w:rPr>
        <w:t>u</w:t>
      </w:r>
      <w:r>
        <w:rPr>
          <w:b/>
        </w:rPr>
        <w:t>ate level occupations</w:t>
      </w:r>
      <w:r w:rsidR="006D6032">
        <w:rPr>
          <w:b/>
        </w:rPr>
        <w:t xml:space="preserve"> and earning at least £20,000 or £30,000, 2015</w:t>
      </w:r>
      <w:r w:rsidRPr="003C3BB8">
        <w:rPr>
          <w:b/>
        </w:rPr>
        <w:t>.</w:t>
      </w:r>
    </w:p>
    <w:p w14:paraId="497BAE06" w14:textId="76F7976C" w:rsidR="00F95ADE" w:rsidRDefault="00066D5C" w:rsidP="005A068F">
      <w:pPr>
        <w:spacing w:after="0" w:line="240" w:lineRule="auto"/>
        <w:rPr>
          <w:b/>
        </w:rPr>
      </w:pPr>
      <w:r>
        <w:rPr>
          <w:noProof/>
          <w:lang w:eastAsia="en-GB"/>
        </w:rPr>
        <w:drawing>
          <wp:inline distT="0" distB="0" distL="0" distR="0" wp14:anchorId="1378F8E8" wp14:editId="22F19AB3">
            <wp:extent cx="4905375" cy="3116580"/>
            <wp:effectExtent l="0" t="0" r="9525"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D00767" w14:textId="77777777" w:rsidR="005A068F" w:rsidRDefault="005A068F" w:rsidP="005A068F">
      <w:pPr>
        <w:spacing w:after="0" w:line="240" w:lineRule="auto"/>
        <w:rPr>
          <w:b/>
        </w:rPr>
      </w:pPr>
    </w:p>
    <w:p w14:paraId="4FB8D17C" w14:textId="77777777" w:rsidR="005A068F" w:rsidRPr="005F28F9" w:rsidRDefault="005A068F" w:rsidP="005A068F">
      <w:pPr>
        <w:spacing w:after="0" w:line="240" w:lineRule="auto"/>
        <w:rPr>
          <w:sz w:val="18"/>
          <w:szCs w:val="18"/>
        </w:rPr>
      </w:pPr>
      <w:r w:rsidRPr="005F28F9">
        <w:rPr>
          <w:sz w:val="18"/>
          <w:szCs w:val="18"/>
        </w:rPr>
        <w:t>Notes: based on analysis of the LFS 2015: Q1-Q4. Includes both full-time and part-time employees.</w:t>
      </w:r>
      <w:r w:rsidR="006D6032" w:rsidRPr="005F28F9">
        <w:rPr>
          <w:sz w:val="18"/>
          <w:szCs w:val="18"/>
        </w:rPr>
        <w:t xml:space="preserve"> </w:t>
      </w:r>
      <w:r w:rsidR="006D6032" w:rsidRPr="005F28F9">
        <w:rPr>
          <w:rFonts w:cs="Arial"/>
          <w:color w:val="000000"/>
          <w:sz w:val="18"/>
          <w:szCs w:val="18"/>
        </w:rPr>
        <w:t xml:space="preserve">Graduate-level jobs are defined using the 4-digit Standard Occupational Classification (SOC) from the government’s </w:t>
      </w:r>
      <w:hyperlink r:id="rId17" w:history="1">
        <w:r w:rsidR="006D6032" w:rsidRPr="005F28F9">
          <w:rPr>
            <w:rStyle w:val="Hyperlink"/>
            <w:rFonts w:cs="Arial"/>
            <w:sz w:val="18"/>
            <w:szCs w:val="18"/>
          </w:rPr>
          <w:t>Codes of Practice for</w:t>
        </w:r>
      </w:hyperlink>
      <w:r w:rsidR="006D6032" w:rsidRPr="005F28F9">
        <w:rPr>
          <w:rFonts w:cs="Arial"/>
          <w:color w:val="000000"/>
          <w:sz w:val="18"/>
          <w:szCs w:val="18"/>
        </w:rPr>
        <w:t xml:space="preserve"> Tier 2 visas.</w:t>
      </w:r>
    </w:p>
    <w:p w14:paraId="00495E70" w14:textId="77777777" w:rsidR="005F28F9" w:rsidRDefault="005F28F9" w:rsidP="00670626">
      <w:pPr>
        <w:spacing w:after="0" w:line="240" w:lineRule="auto"/>
        <w:jc w:val="both"/>
      </w:pPr>
    </w:p>
    <w:p w14:paraId="19B8A0BE" w14:textId="77777777" w:rsidR="00594029" w:rsidRDefault="00594029" w:rsidP="00594029">
      <w:pPr>
        <w:spacing w:after="0" w:line="240" w:lineRule="auto"/>
        <w:jc w:val="both"/>
        <w:rPr>
          <w:rFonts w:cs="Arial"/>
          <w:color w:val="000000"/>
        </w:rPr>
      </w:pPr>
      <w:r>
        <w:rPr>
          <w:rFonts w:cs="Arial"/>
          <w:color w:val="000000"/>
        </w:rPr>
        <w:t xml:space="preserve">There are also other forms of work-related migration that are not considered </w:t>
      </w:r>
      <w:r w:rsidR="00747F31">
        <w:rPr>
          <w:rFonts w:cs="Arial"/>
          <w:color w:val="000000"/>
        </w:rPr>
        <w:t xml:space="preserve">further </w:t>
      </w:r>
      <w:r>
        <w:rPr>
          <w:rFonts w:cs="Arial"/>
          <w:color w:val="000000"/>
        </w:rPr>
        <w:t>in this report. People working for multinational companies abroad can come to the UK to work for the same company</w:t>
      </w:r>
      <w:r w:rsidR="001D56A5">
        <w:rPr>
          <w:rFonts w:cs="Arial"/>
          <w:color w:val="000000"/>
        </w:rPr>
        <w:t xml:space="preserve"> under the Tier 2 (intracompany transfer) category</w:t>
      </w:r>
      <w:r>
        <w:rPr>
          <w:rFonts w:cs="Arial"/>
          <w:color w:val="000000"/>
        </w:rPr>
        <w:t xml:space="preserve">.  Small numbers of self-employed people can also get visas as entrepreneurs, investors, or on the basis of having ‘exceptional talent’. </w:t>
      </w:r>
    </w:p>
    <w:p w14:paraId="5AFB5963" w14:textId="77777777" w:rsidR="001D56A5" w:rsidRDefault="001D56A5" w:rsidP="00594029">
      <w:pPr>
        <w:spacing w:after="0" w:line="240" w:lineRule="auto"/>
        <w:jc w:val="both"/>
        <w:rPr>
          <w:rFonts w:cs="Arial"/>
          <w:color w:val="000000"/>
        </w:rPr>
      </w:pPr>
    </w:p>
    <w:p w14:paraId="77A1144B" w14:textId="77777777" w:rsidR="001D56A5" w:rsidRPr="00B51827" w:rsidRDefault="001D56A5" w:rsidP="001D56A5">
      <w:pPr>
        <w:spacing w:after="0" w:line="240" w:lineRule="auto"/>
        <w:jc w:val="both"/>
        <w:rPr>
          <w:rFonts w:cs="Arial"/>
          <w:color w:val="000000"/>
        </w:rPr>
      </w:pPr>
      <w:r>
        <w:rPr>
          <w:rFonts w:cs="Arial"/>
          <w:color w:val="000000"/>
        </w:rPr>
        <w:t xml:space="preserve">In order to stay permanently in the UK, non-EU nationals on work visas must earn at least £35,000, unless they are in a shortage occupation or a PhD-level job. This report examines the implications of salary thresholds </w:t>
      </w:r>
      <w:r>
        <w:rPr>
          <w:rFonts w:cs="Arial"/>
          <w:i/>
          <w:color w:val="000000"/>
        </w:rPr>
        <w:t>at entry</w:t>
      </w:r>
      <w:r>
        <w:rPr>
          <w:rFonts w:cs="Arial"/>
          <w:color w:val="000000"/>
        </w:rPr>
        <w:t xml:space="preserve">. </w:t>
      </w:r>
      <w:r w:rsidR="00747F31">
        <w:rPr>
          <w:rFonts w:cs="Arial"/>
          <w:color w:val="000000"/>
        </w:rPr>
        <w:t>A</w:t>
      </w:r>
      <w:r>
        <w:rPr>
          <w:rFonts w:cs="Arial"/>
          <w:color w:val="000000"/>
        </w:rPr>
        <w:t xml:space="preserve"> salary threshold for settlement in the UK could also play a key role in </w:t>
      </w:r>
      <w:r w:rsidR="00747F31">
        <w:rPr>
          <w:rFonts w:cs="Arial"/>
          <w:color w:val="000000"/>
        </w:rPr>
        <w:t xml:space="preserve">shaping the jobs in which employers could sponsor overseas workers in </w:t>
      </w:r>
      <w:r>
        <w:rPr>
          <w:rFonts w:cs="Arial"/>
          <w:color w:val="000000"/>
        </w:rPr>
        <w:t xml:space="preserve">the context of a UK exit from the EU. It is difficult to understand the potential effect of settlement requirements </w:t>
      </w:r>
      <w:r w:rsidR="001E57E6">
        <w:rPr>
          <w:rFonts w:cs="Arial"/>
          <w:color w:val="000000"/>
        </w:rPr>
        <w:t>without analysing</w:t>
      </w:r>
      <w:r>
        <w:rPr>
          <w:rFonts w:cs="Arial"/>
          <w:color w:val="000000"/>
        </w:rPr>
        <w:t xml:space="preserve"> earnings growth </w:t>
      </w:r>
      <w:r w:rsidR="001E57E6">
        <w:rPr>
          <w:rFonts w:cs="Arial"/>
          <w:color w:val="000000"/>
        </w:rPr>
        <w:t>of workers in particular jobs over time</w:t>
      </w:r>
      <w:r>
        <w:rPr>
          <w:rFonts w:cs="Arial"/>
          <w:color w:val="000000"/>
        </w:rPr>
        <w:t xml:space="preserve">; we do not attempt such an analysis in this report. </w:t>
      </w:r>
    </w:p>
    <w:p w14:paraId="799471C9" w14:textId="77777777" w:rsidR="00594029" w:rsidRDefault="00594029" w:rsidP="00670626">
      <w:pPr>
        <w:spacing w:after="0" w:line="240" w:lineRule="auto"/>
        <w:jc w:val="both"/>
      </w:pPr>
    </w:p>
    <w:p w14:paraId="4EDE25A1" w14:textId="77777777" w:rsidR="00B30E43" w:rsidRPr="00B30E43" w:rsidRDefault="00B30E43" w:rsidP="00DD5BCF">
      <w:pPr>
        <w:spacing w:after="0" w:line="240" w:lineRule="auto"/>
        <w:jc w:val="both"/>
        <w:rPr>
          <w:b/>
        </w:rPr>
      </w:pPr>
      <w:r>
        <w:rPr>
          <w:b/>
        </w:rPr>
        <w:t xml:space="preserve">Would admission requirements for work visas remain the same after a vote to leave the EU? </w:t>
      </w:r>
    </w:p>
    <w:p w14:paraId="3B5663D6" w14:textId="77777777" w:rsidR="00B30E43" w:rsidRDefault="00B30E43" w:rsidP="00DD5BCF">
      <w:pPr>
        <w:spacing w:after="0" w:line="240" w:lineRule="auto"/>
        <w:jc w:val="both"/>
      </w:pPr>
    </w:p>
    <w:p w14:paraId="7C40D41E" w14:textId="77777777" w:rsidR="00B30E43" w:rsidRDefault="00E97005" w:rsidP="00DD5BCF">
      <w:pPr>
        <w:spacing w:after="0" w:line="240" w:lineRule="auto"/>
        <w:jc w:val="both"/>
      </w:pPr>
      <w:r>
        <w:t xml:space="preserve">If admission requirements were imposed on EU citizens following a vote to leave the EU, there is no </w:t>
      </w:r>
      <w:r w:rsidR="00D41264">
        <w:t xml:space="preserve">reason to assume </w:t>
      </w:r>
      <w:r>
        <w:t xml:space="preserve">that migration policies </w:t>
      </w:r>
      <w:r w:rsidR="00BE6F1A">
        <w:t xml:space="preserve">would </w:t>
      </w:r>
      <w:r>
        <w:t xml:space="preserve">be the same as the ones that currently apply to non-EU nationals. </w:t>
      </w:r>
      <w:r w:rsidR="00A53055">
        <w:t xml:space="preserve">The skills required for Tier 2 </w:t>
      </w:r>
      <w:r w:rsidR="00594029">
        <w:t xml:space="preserve">(general) </w:t>
      </w:r>
      <w:r w:rsidR="00A53055">
        <w:t xml:space="preserve">visas have </w:t>
      </w:r>
      <w:hyperlink r:id="rId18" w:history="1">
        <w:r w:rsidR="00A53055" w:rsidRPr="005358DE">
          <w:rPr>
            <w:rStyle w:val="Hyperlink"/>
          </w:rPr>
          <w:t>gradually increased</w:t>
        </w:r>
      </w:hyperlink>
      <w:r w:rsidR="00A53055">
        <w:t xml:space="preserve"> over the past decade. </w:t>
      </w:r>
      <w:r>
        <w:t xml:space="preserve">These policies were designed to regulate non-EU migration in a </w:t>
      </w:r>
      <w:r w:rsidR="00516433">
        <w:t xml:space="preserve">very different environment, in which </w:t>
      </w:r>
      <w:r>
        <w:t xml:space="preserve">restrictions </w:t>
      </w:r>
      <w:r w:rsidR="00516433">
        <w:t xml:space="preserve">were not imposed </w:t>
      </w:r>
      <w:r>
        <w:t xml:space="preserve">on EU nationals. </w:t>
      </w:r>
    </w:p>
    <w:p w14:paraId="5E1678C2" w14:textId="77777777" w:rsidR="00B30E43" w:rsidRDefault="00B30E43" w:rsidP="00DD5BCF">
      <w:pPr>
        <w:spacing w:after="0" w:line="240" w:lineRule="auto"/>
        <w:jc w:val="both"/>
      </w:pPr>
    </w:p>
    <w:p w14:paraId="1F23A00B" w14:textId="3BA5B6A8" w:rsidR="00A53055" w:rsidRDefault="00386DE6" w:rsidP="00DD5BCF">
      <w:pPr>
        <w:spacing w:after="0" w:line="240" w:lineRule="auto"/>
        <w:jc w:val="both"/>
      </w:pPr>
      <w:r w:rsidRPr="00386DE6">
        <w:t xml:space="preserve">Ending free movement </w:t>
      </w:r>
      <w:r w:rsidR="00B30E43" w:rsidRPr="00386DE6">
        <w:t>would be a significant change to the UK immigration system</w:t>
      </w:r>
      <w:r w:rsidRPr="00386DE6">
        <w:t>, and it is likely that</w:t>
      </w:r>
      <w:r>
        <w:t xml:space="preserve"> any move to impose admission requirements on EU </w:t>
      </w:r>
      <w:r w:rsidR="002241D5">
        <w:t xml:space="preserve">nationals </w:t>
      </w:r>
      <w:r>
        <w:t xml:space="preserve">would be accompanied by a wholesale review of the immigration system overall, rather than simply applying to EU </w:t>
      </w:r>
      <w:r w:rsidR="002241D5">
        <w:t xml:space="preserve">nationals </w:t>
      </w:r>
      <w:r>
        <w:t xml:space="preserve">the </w:t>
      </w:r>
      <w:r>
        <w:lastRenderedPageBreak/>
        <w:t>rules that currently exist for non-EU</w:t>
      </w:r>
      <w:r w:rsidR="002241D5">
        <w:t xml:space="preserve"> nationals</w:t>
      </w:r>
      <w:r>
        <w:t xml:space="preserve">. This </w:t>
      </w:r>
      <w:r w:rsidR="00FB65EE">
        <w:t xml:space="preserve">might </w:t>
      </w:r>
      <w:r>
        <w:t xml:space="preserve">involve </w:t>
      </w:r>
      <w:r w:rsidR="008E4EE4">
        <w:t>less restrictive</w:t>
      </w:r>
      <w:r>
        <w:t xml:space="preserve"> </w:t>
      </w:r>
      <w:r w:rsidR="00881DA6">
        <w:t xml:space="preserve">criteria for skilled work visas. </w:t>
      </w:r>
    </w:p>
    <w:p w14:paraId="34BF7940" w14:textId="77777777" w:rsidR="00A53055" w:rsidRDefault="00A53055" w:rsidP="00DD5BCF">
      <w:pPr>
        <w:spacing w:after="0" w:line="240" w:lineRule="auto"/>
        <w:jc w:val="both"/>
      </w:pPr>
    </w:p>
    <w:p w14:paraId="309B4905" w14:textId="77777777" w:rsidR="00E97005" w:rsidRDefault="00881DA6" w:rsidP="00DD5BCF">
      <w:pPr>
        <w:spacing w:after="0" w:line="240" w:lineRule="auto"/>
        <w:jc w:val="both"/>
      </w:pPr>
      <w:r>
        <w:t>In addition, i</w:t>
      </w:r>
      <w:r w:rsidR="00A53055">
        <w:t xml:space="preserve">n the past there have been programmes which provided non-EU nationals with access to the UK labour market for work in certain low-skilled occupations such as agriculture and food processing. These schemes are currently not operational but </w:t>
      </w:r>
      <w:r>
        <w:t xml:space="preserve">it is possible that such programmes would be </w:t>
      </w:r>
      <w:r w:rsidR="00A53055">
        <w:t>reintroduced as part of a new post-Brexit immigration policy.</w:t>
      </w:r>
    </w:p>
    <w:p w14:paraId="504D0434" w14:textId="77777777" w:rsidR="00E97005" w:rsidRDefault="00E97005" w:rsidP="00DD5BCF">
      <w:pPr>
        <w:spacing w:after="0" w:line="240" w:lineRule="auto"/>
        <w:jc w:val="both"/>
        <w:rPr>
          <w:color w:val="000000" w:themeColor="text1"/>
        </w:rPr>
      </w:pPr>
    </w:p>
    <w:p w14:paraId="35A7325B" w14:textId="113BC4C7" w:rsidR="00881DA6" w:rsidRDefault="00881DA6" w:rsidP="00DD5BCF">
      <w:pPr>
        <w:spacing w:after="0" w:line="240" w:lineRule="auto"/>
        <w:jc w:val="both"/>
        <w:rPr>
          <w:color w:val="000000" w:themeColor="text1"/>
        </w:rPr>
      </w:pPr>
      <w:r>
        <w:rPr>
          <w:color w:val="000000" w:themeColor="text1"/>
        </w:rPr>
        <w:t xml:space="preserve">Nonetheless, even if we do not know exactly which criteria would be in place if the UK imposed admission requirements on EU </w:t>
      </w:r>
      <w:r w:rsidR="002241D5">
        <w:rPr>
          <w:color w:val="000000" w:themeColor="text1"/>
        </w:rPr>
        <w:t>nationals</w:t>
      </w:r>
      <w:r>
        <w:rPr>
          <w:color w:val="000000" w:themeColor="text1"/>
        </w:rPr>
        <w:t xml:space="preserve">, it is reasonable to assume that the skill level of the job would continue to be an important part of any selection scheme. As a result, it is possible to draw broad conclusions about </w:t>
      </w:r>
      <w:r w:rsidR="00150A84">
        <w:rPr>
          <w:color w:val="000000" w:themeColor="text1"/>
        </w:rPr>
        <w:t xml:space="preserve">where the implications of introducing admission requirements would be </w:t>
      </w:r>
      <w:r w:rsidR="00594029">
        <w:rPr>
          <w:color w:val="000000" w:themeColor="text1"/>
        </w:rPr>
        <w:t>more</w:t>
      </w:r>
      <w:r w:rsidR="00150A84">
        <w:rPr>
          <w:color w:val="000000" w:themeColor="text1"/>
        </w:rPr>
        <w:t xml:space="preserve"> significant. </w:t>
      </w:r>
    </w:p>
    <w:p w14:paraId="6A43A360" w14:textId="77777777" w:rsidR="00150A84" w:rsidRDefault="00150A84" w:rsidP="00DD5BCF">
      <w:pPr>
        <w:spacing w:after="0" w:line="240" w:lineRule="auto"/>
        <w:jc w:val="both"/>
        <w:rPr>
          <w:color w:val="000000" w:themeColor="text1"/>
        </w:rPr>
      </w:pPr>
    </w:p>
    <w:p w14:paraId="3FDF7D4E" w14:textId="77777777" w:rsidR="00150A84" w:rsidRPr="003D6A4F" w:rsidRDefault="00BD75D6" w:rsidP="00DD5BCF">
      <w:pPr>
        <w:spacing w:after="0" w:line="240" w:lineRule="auto"/>
        <w:jc w:val="both"/>
        <w:rPr>
          <w:b/>
          <w:color w:val="000000" w:themeColor="text1"/>
        </w:rPr>
      </w:pPr>
      <w:r>
        <w:rPr>
          <w:b/>
          <w:color w:val="000000" w:themeColor="text1"/>
        </w:rPr>
        <w:t>Where are the</w:t>
      </w:r>
      <w:r w:rsidR="003D6A4F" w:rsidRPr="003D6A4F">
        <w:rPr>
          <w:b/>
          <w:color w:val="000000" w:themeColor="text1"/>
        </w:rPr>
        <w:t xml:space="preserve"> jobs </w:t>
      </w:r>
      <w:r>
        <w:rPr>
          <w:b/>
          <w:color w:val="000000" w:themeColor="text1"/>
        </w:rPr>
        <w:t xml:space="preserve">that </w:t>
      </w:r>
      <w:r w:rsidR="003D6A4F" w:rsidRPr="003D6A4F">
        <w:rPr>
          <w:b/>
          <w:color w:val="000000" w:themeColor="text1"/>
        </w:rPr>
        <w:t>are eligible</w:t>
      </w:r>
      <w:r w:rsidR="003D6A4F">
        <w:rPr>
          <w:b/>
          <w:color w:val="000000" w:themeColor="text1"/>
        </w:rPr>
        <w:t xml:space="preserve"> for </w:t>
      </w:r>
      <w:r w:rsidR="00C0313D">
        <w:rPr>
          <w:b/>
          <w:color w:val="000000" w:themeColor="text1"/>
        </w:rPr>
        <w:t xml:space="preserve">Tier 2 </w:t>
      </w:r>
      <w:r w:rsidR="003D6A4F">
        <w:rPr>
          <w:b/>
          <w:color w:val="000000" w:themeColor="text1"/>
        </w:rPr>
        <w:t>visas</w:t>
      </w:r>
      <w:r w:rsidR="003D6A4F" w:rsidRPr="003D6A4F">
        <w:rPr>
          <w:b/>
          <w:color w:val="000000" w:themeColor="text1"/>
        </w:rPr>
        <w:t xml:space="preserve"> under the current immigration system? </w:t>
      </w:r>
    </w:p>
    <w:p w14:paraId="7BD6F498" w14:textId="77777777" w:rsidR="003D6A4F" w:rsidRDefault="003D6A4F" w:rsidP="00DD5BCF">
      <w:pPr>
        <w:spacing w:after="0" w:line="240" w:lineRule="auto"/>
        <w:jc w:val="both"/>
        <w:rPr>
          <w:color w:val="000000" w:themeColor="text1"/>
        </w:rPr>
      </w:pPr>
    </w:p>
    <w:p w14:paraId="00727491" w14:textId="4DA6D055" w:rsidR="00B92C33" w:rsidRPr="00F17DFA" w:rsidRDefault="003D6A4F" w:rsidP="00B92C33">
      <w:pPr>
        <w:spacing w:after="0" w:line="240" w:lineRule="auto"/>
        <w:jc w:val="both"/>
      </w:pPr>
      <w:r>
        <w:t>Figure 2</w:t>
      </w:r>
      <w:r w:rsidR="00150A84">
        <w:t xml:space="preserve"> shows the </w:t>
      </w:r>
      <w:r w:rsidR="00150A84" w:rsidRPr="00F17DFA">
        <w:t xml:space="preserve">share of </w:t>
      </w:r>
      <w:r w:rsidRPr="00F17DFA">
        <w:t>employees in the UK labour market</w:t>
      </w:r>
      <w:r w:rsidR="00150A84" w:rsidRPr="00F17DFA">
        <w:t xml:space="preserve"> that earned more than £20,000 and worked in graduate level occupations, by industry</w:t>
      </w:r>
      <w:r w:rsidRPr="00F17DFA">
        <w:t>, in 2015</w:t>
      </w:r>
      <w:r w:rsidR="00150A84" w:rsidRPr="00F17DFA">
        <w:t xml:space="preserve">. </w:t>
      </w:r>
      <w:r w:rsidR="001A7342">
        <w:t xml:space="preserve">A </w:t>
      </w:r>
      <w:r w:rsidR="00150A84" w:rsidRPr="00F17DFA">
        <w:t xml:space="preserve">minority of </w:t>
      </w:r>
      <w:r w:rsidR="00BD75D6" w:rsidRPr="00F17DFA">
        <w:t>employee jobs</w:t>
      </w:r>
      <w:r w:rsidR="00150A84" w:rsidRPr="00F17DFA">
        <w:t xml:space="preserve"> are graduate level </w:t>
      </w:r>
      <w:r w:rsidR="00BD75D6" w:rsidRPr="00F17DFA">
        <w:t xml:space="preserve">positions that pay </w:t>
      </w:r>
      <w:r w:rsidR="00150A84" w:rsidRPr="00F17DFA">
        <w:t>at least £20,000. The share is highest in the “Banking and Finance” (</w:t>
      </w:r>
      <w:r w:rsidR="002241D5" w:rsidRPr="00F17DFA">
        <w:t>34</w:t>
      </w:r>
      <w:r w:rsidR="00150A84" w:rsidRPr="00F17DFA">
        <w:t>%) and “Public Administration, Education and Health” (</w:t>
      </w:r>
      <w:r w:rsidR="002241D5" w:rsidRPr="00F17DFA">
        <w:t>33</w:t>
      </w:r>
      <w:r w:rsidR="00150A84" w:rsidRPr="00F17DFA">
        <w:t xml:space="preserve">%) industry categories. </w:t>
      </w:r>
      <w:r w:rsidR="00B92C33" w:rsidRPr="00F17DFA">
        <w:t xml:space="preserve">The “Banking and Finance” category includes </w:t>
      </w:r>
      <w:r w:rsidR="00F17DFA">
        <w:t>a range of</w:t>
      </w:r>
      <w:r w:rsidR="00B92C33" w:rsidRPr="00F17DFA">
        <w:t xml:space="preserve"> professional services such as </w:t>
      </w:r>
      <w:r w:rsidR="00F17DFA">
        <w:t xml:space="preserve">financial services, </w:t>
      </w:r>
      <w:r w:rsidR="00B92C33" w:rsidRPr="00F17DFA">
        <w:t xml:space="preserve">advertising and management consultancy; workers in this industry include professional as well as lower-skilled jobs like cleaning for companies within professional services industries. The “Public administration” category </w:t>
      </w:r>
      <w:r w:rsidR="00F17DFA">
        <w:t xml:space="preserve">also </w:t>
      </w:r>
      <w:r w:rsidR="00B92C33" w:rsidRPr="00F17DFA">
        <w:t xml:space="preserve">includes workers in a range of occupations such as teachers, nurses and care home workers. </w:t>
      </w:r>
    </w:p>
    <w:p w14:paraId="41EE9034" w14:textId="77777777" w:rsidR="00B92C33" w:rsidRPr="00F17DFA" w:rsidRDefault="00B92C33" w:rsidP="00150A84">
      <w:pPr>
        <w:spacing w:after="0" w:line="240" w:lineRule="auto"/>
        <w:jc w:val="both"/>
      </w:pPr>
    </w:p>
    <w:p w14:paraId="781EF733" w14:textId="77777777" w:rsidR="00150A84" w:rsidRPr="003733EB" w:rsidRDefault="00150A84" w:rsidP="00150A84">
      <w:pPr>
        <w:spacing w:after="0" w:line="240" w:lineRule="auto"/>
        <w:jc w:val="both"/>
      </w:pPr>
      <w:r w:rsidRPr="00F17DFA">
        <w:rPr>
          <w:rFonts w:ascii="Calibri" w:eastAsia="Times New Roman" w:hAnsi="Calibri" w:cs="Times New Roman"/>
          <w:color w:val="000000"/>
          <w:lang w:eastAsia="en-GB"/>
        </w:rPr>
        <w:t xml:space="preserve">On the other end of the spectrum, </w:t>
      </w:r>
      <w:r w:rsidR="00265F48" w:rsidRPr="00F17DFA">
        <w:rPr>
          <w:rFonts w:ascii="Calibri" w:eastAsia="Times New Roman" w:hAnsi="Calibri" w:cs="Times New Roman"/>
          <w:color w:val="000000"/>
          <w:lang w:eastAsia="en-GB"/>
        </w:rPr>
        <w:t>only 6% of employees in the</w:t>
      </w:r>
      <w:r w:rsidRPr="00F17DFA">
        <w:rPr>
          <w:rFonts w:ascii="Calibri" w:eastAsia="Times New Roman" w:hAnsi="Calibri" w:cs="Times New Roman"/>
          <w:color w:val="000000"/>
          <w:lang w:eastAsia="en-GB"/>
        </w:rPr>
        <w:t xml:space="preserve"> “Distribution, Hotels and Restaurants” (</w:t>
      </w:r>
      <w:r w:rsidR="006437C6" w:rsidRPr="00F17DFA">
        <w:t>6</w:t>
      </w:r>
      <w:r w:rsidRPr="00F17DFA">
        <w:rPr>
          <w:rFonts w:ascii="Calibri" w:eastAsia="Times New Roman" w:hAnsi="Calibri" w:cs="Times New Roman"/>
          <w:color w:val="000000"/>
          <w:lang w:eastAsia="en-GB"/>
        </w:rPr>
        <w:t>%) industry categor</w:t>
      </w:r>
      <w:r w:rsidR="00265F48" w:rsidRPr="00F17DFA">
        <w:rPr>
          <w:rFonts w:ascii="Calibri" w:eastAsia="Times New Roman" w:hAnsi="Calibri" w:cs="Times New Roman"/>
          <w:color w:val="000000"/>
          <w:lang w:eastAsia="en-GB"/>
        </w:rPr>
        <w:t xml:space="preserve">y were in </w:t>
      </w:r>
      <w:r w:rsidRPr="00F17DFA">
        <w:rPr>
          <w:rFonts w:ascii="Calibri" w:eastAsia="Times New Roman" w:hAnsi="Calibri" w:cs="Times New Roman"/>
          <w:color w:val="000000"/>
          <w:lang w:eastAsia="en-GB"/>
        </w:rPr>
        <w:t xml:space="preserve">graduate-level jobs </w:t>
      </w:r>
      <w:r w:rsidR="00265F48" w:rsidRPr="00F17DFA">
        <w:rPr>
          <w:rFonts w:ascii="Calibri" w:eastAsia="Times New Roman" w:hAnsi="Calibri" w:cs="Times New Roman"/>
          <w:color w:val="000000"/>
          <w:lang w:eastAsia="en-GB"/>
        </w:rPr>
        <w:t xml:space="preserve">paying </w:t>
      </w:r>
      <w:r w:rsidRPr="00F17DFA">
        <w:rPr>
          <w:rFonts w:ascii="Calibri" w:eastAsia="Times New Roman" w:hAnsi="Calibri" w:cs="Times New Roman"/>
          <w:color w:val="000000"/>
          <w:lang w:eastAsia="en-GB"/>
        </w:rPr>
        <w:t>at least £20,000.</w:t>
      </w:r>
      <w:r w:rsidR="00B92C33" w:rsidRPr="00F17DFA">
        <w:rPr>
          <w:rFonts w:ascii="Calibri" w:eastAsia="Times New Roman" w:hAnsi="Calibri" w:cs="Times New Roman"/>
          <w:color w:val="000000"/>
          <w:lang w:eastAsia="en-GB"/>
        </w:rPr>
        <w:t xml:space="preserve"> </w:t>
      </w:r>
      <w:r w:rsidR="00BC48B2" w:rsidRPr="00F17DFA">
        <w:t xml:space="preserve">This </w:t>
      </w:r>
      <w:r w:rsidR="00B92C33" w:rsidRPr="00F17DFA">
        <w:t>category comprises retail trade as well as accommodation and food service, including shop sales assistants, kitchen staff and waiters</w:t>
      </w:r>
      <w:r w:rsidR="00B92C33">
        <w:t>/waitresses.</w:t>
      </w:r>
      <w:r w:rsidR="00A5357D">
        <w:t xml:space="preserve"> The agriculture, forestry and fishing industry comprised only 4% graduate jobs paying £20,000 or more, although it should be noted that the Labour Force Survey </w:t>
      </w:r>
      <w:hyperlink r:id="rId19" w:history="1">
        <w:r w:rsidR="00A5357D" w:rsidRPr="00A5357D">
          <w:rPr>
            <w:rStyle w:val="Hyperlink"/>
          </w:rPr>
          <w:t>may not capture</w:t>
        </w:r>
      </w:hyperlink>
      <w:r w:rsidR="00A5357D">
        <w:t xml:space="preserve"> employment in this industry accurately, due to seasonal variation in </w:t>
      </w:r>
      <w:r w:rsidR="004678CD">
        <w:t>labour demand</w:t>
      </w:r>
      <w:r w:rsidR="002E7E7B">
        <w:t xml:space="preserve"> and the use of temporary labour</w:t>
      </w:r>
      <w:r w:rsidR="00A5357D">
        <w:t xml:space="preserve">. </w:t>
      </w:r>
    </w:p>
    <w:p w14:paraId="56FE62CD" w14:textId="77777777" w:rsidR="00A5357D" w:rsidRDefault="00A5357D" w:rsidP="00150A84">
      <w:pPr>
        <w:spacing w:after="0" w:line="240" w:lineRule="auto"/>
        <w:jc w:val="both"/>
        <w:rPr>
          <w:b/>
        </w:rPr>
      </w:pPr>
    </w:p>
    <w:p w14:paraId="7821354D" w14:textId="72664390" w:rsidR="00150A84" w:rsidRDefault="003D6A4F" w:rsidP="00150A84">
      <w:pPr>
        <w:spacing w:after="0" w:line="240" w:lineRule="auto"/>
        <w:jc w:val="both"/>
        <w:rPr>
          <w:b/>
        </w:rPr>
      </w:pPr>
      <w:r>
        <w:rPr>
          <w:b/>
        </w:rPr>
        <w:t>Figure 2</w:t>
      </w:r>
      <w:r w:rsidR="00150A84" w:rsidRPr="00FC7783">
        <w:rPr>
          <w:b/>
        </w:rPr>
        <w:t xml:space="preserve"> – </w:t>
      </w:r>
      <w:r w:rsidR="00150A84">
        <w:rPr>
          <w:b/>
        </w:rPr>
        <w:t>Share</w:t>
      </w:r>
      <w:r w:rsidR="006437C6">
        <w:rPr>
          <w:b/>
        </w:rPr>
        <w:t xml:space="preserve"> (%)</w:t>
      </w:r>
      <w:r w:rsidR="00150A84">
        <w:rPr>
          <w:b/>
        </w:rPr>
        <w:t xml:space="preserve"> of </w:t>
      </w:r>
      <w:r w:rsidR="00BD75D6">
        <w:rPr>
          <w:b/>
        </w:rPr>
        <w:t>employees</w:t>
      </w:r>
      <w:r w:rsidR="00150A84">
        <w:rPr>
          <w:b/>
        </w:rPr>
        <w:t xml:space="preserve"> </w:t>
      </w:r>
      <w:r w:rsidR="006D46A9">
        <w:rPr>
          <w:b/>
        </w:rPr>
        <w:t xml:space="preserve">who are </w:t>
      </w:r>
      <w:bookmarkStart w:id="0" w:name="_GoBack"/>
      <w:bookmarkEnd w:id="0"/>
      <w:r w:rsidR="00BD75D6">
        <w:rPr>
          <w:b/>
        </w:rPr>
        <w:t>working in grad</w:t>
      </w:r>
      <w:r w:rsidR="00D93F26">
        <w:rPr>
          <w:b/>
        </w:rPr>
        <w:t>u</w:t>
      </w:r>
      <w:r w:rsidR="00BD75D6">
        <w:rPr>
          <w:b/>
        </w:rPr>
        <w:t xml:space="preserve">ate level occupations and earning at least £20,000 or £30,000, </w:t>
      </w:r>
      <w:r w:rsidR="00D93F26">
        <w:rPr>
          <w:b/>
        </w:rPr>
        <w:t xml:space="preserve">by industry category, </w:t>
      </w:r>
      <w:r w:rsidR="00BD75D6">
        <w:rPr>
          <w:b/>
        </w:rPr>
        <w:t>2015</w:t>
      </w:r>
    </w:p>
    <w:p w14:paraId="2D06BB37" w14:textId="77777777" w:rsidR="008D635C" w:rsidRDefault="00AF1095" w:rsidP="00150A84">
      <w:pPr>
        <w:spacing w:after="0" w:line="240" w:lineRule="auto"/>
        <w:jc w:val="both"/>
        <w:rPr>
          <w:b/>
        </w:rPr>
      </w:pPr>
      <w:r>
        <w:rPr>
          <w:noProof/>
          <w:lang w:eastAsia="en-GB"/>
        </w:rPr>
        <w:lastRenderedPageBreak/>
        <w:drawing>
          <wp:inline distT="0" distB="0" distL="0" distR="0" wp14:anchorId="0EAE5086" wp14:editId="5053DE99">
            <wp:extent cx="4905375" cy="31623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490AB6" w14:textId="77777777" w:rsidR="00150A84" w:rsidRPr="00BD75D6" w:rsidRDefault="00150A84" w:rsidP="00150A84">
      <w:pPr>
        <w:spacing w:after="0" w:line="240" w:lineRule="auto"/>
        <w:rPr>
          <w:sz w:val="18"/>
          <w:szCs w:val="18"/>
        </w:rPr>
      </w:pPr>
      <w:r w:rsidRPr="00BD75D6">
        <w:rPr>
          <w:sz w:val="18"/>
          <w:szCs w:val="18"/>
        </w:rPr>
        <w:t>Notes: based on analysis of the LFS 2015: Q1-Q4. Includes both full-time and part-time employees.</w:t>
      </w:r>
      <w:r w:rsidR="00BD75D6" w:rsidRPr="00BD75D6">
        <w:rPr>
          <w:rFonts w:cs="Arial"/>
          <w:color w:val="000000"/>
          <w:sz w:val="18"/>
          <w:szCs w:val="18"/>
        </w:rPr>
        <w:t xml:space="preserve"> Graduate-level jobs are defined using the 4-digit Standard Occupational Classification (SOC) from the government’s </w:t>
      </w:r>
      <w:hyperlink r:id="rId21" w:history="1">
        <w:r w:rsidR="00BD75D6" w:rsidRPr="00BD75D6">
          <w:rPr>
            <w:rStyle w:val="Hyperlink"/>
            <w:rFonts w:cs="Arial"/>
            <w:sz w:val="18"/>
            <w:szCs w:val="18"/>
          </w:rPr>
          <w:t>Codes of Practice for</w:t>
        </w:r>
      </w:hyperlink>
      <w:r w:rsidR="00BD75D6" w:rsidRPr="00BD75D6">
        <w:rPr>
          <w:rFonts w:cs="Arial"/>
          <w:color w:val="000000"/>
          <w:sz w:val="18"/>
          <w:szCs w:val="18"/>
        </w:rPr>
        <w:t xml:space="preserve"> Tier 2 visas.</w:t>
      </w:r>
    </w:p>
    <w:p w14:paraId="6B2CF13C" w14:textId="77777777" w:rsidR="00150A84" w:rsidRDefault="00150A84" w:rsidP="00150A84">
      <w:pPr>
        <w:spacing w:after="0" w:line="240" w:lineRule="auto"/>
      </w:pPr>
    </w:p>
    <w:p w14:paraId="362F7439" w14:textId="77777777" w:rsidR="00BD75D6" w:rsidRDefault="00C0313D" w:rsidP="00BD75D6">
      <w:pPr>
        <w:spacing w:after="0" w:line="240" w:lineRule="auto"/>
        <w:jc w:val="both"/>
      </w:pPr>
      <w:r w:rsidRPr="001B7BDD">
        <w:t>Figure 3</w:t>
      </w:r>
      <w:r w:rsidR="00BD75D6" w:rsidRPr="001B7BDD">
        <w:t xml:space="preserve"> shows the share of </w:t>
      </w:r>
      <w:r w:rsidRPr="001B7BDD">
        <w:t>employee jobs meeting the same threshold</w:t>
      </w:r>
      <w:r w:rsidR="000A7543" w:rsidRPr="001B7BDD">
        <w:t>s</w:t>
      </w:r>
      <w:r w:rsidR="00BD75D6" w:rsidRPr="001B7BDD">
        <w:t xml:space="preserve">, by region of the UK. The regional analysis suggests that just over </w:t>
      </w:r>
      <w:r w:rsidR="008B446E">
        <w:t>a third</w:t>
      </w:r>
      <w:r w:rsidR="00601D50" w:rsidRPr="001B7BDD">
        <w:t xml:space="preserve"> of employees</w:t>
      </w:r>
      <w:r w:rsidR="00BD75D6" w:rsidRPr="001B7BDD">
        <w:t xml:space="preserve"> in London (</w:t>
      </w:r>
      <w:r w:rsidR="006437C6" w:rsidRPr="001B7BDD">
        <w:t>34</w:t>
      </w:r>
      <w:r w:rsidR="00BD75D6" w:rsidRPr="001B7BDD">
        <w:t>%) were in graduate level occupations and earn</w:t>
      </w:r>
      <w:r w:rsidR="00BD75D6">
        <w:t xml:space="preserve">ed over £20,000. This contrasts with the cases of </w:t>
      </w:r>
      <w:r w:rsidR="006437C6">
        <w:t xml:space="preserve">most other regions in which less than a quarter of workers </w:t>
      </w:r>
      <w:r w:rsidR="00BD75D6">
        <w:t xml:space="preserve">were in graduate level occupations and earned over £20,000. </w:t>
      </w:r>
    </w:p>
    <w:p w14:paraId="558A7810" w14:textId="77777777" w:rsidR="00BD75D6" w:rsidRDefault="00BD75D6" w:rsidP="00BD75D6">
      <w:pPr>
        <w:spacing w:after="0" w:line="240" w:lineRule="auto"/>
      </w:pPr>
    </w:p>
    <w:p w14:paraId="3C2CD0FC" w14:textId="77A088D9" w:rsidR="00BD75D6" w:rsidRDefault="00601D50" w:rsidP="00BD75D6">
      <w:pPr>
        <w:spacing w:after="0" w:line="240" w:lineRule="auto"/>
        <w:rPr>
          <w:b/>
        </w:rPr>
      </w:pPr>
      <w:r>
        <w:rPr>
          <w:b/>
        </w:rPr>
        <w:t>Figure 3</w:t>
      </w:r>
      <w:r w:rsidR="00BD75D6" w:rsidRPr="00FC7783">
        <w:rPr>
          <w:b/>
        </w:rPr>
        <w:t xml:space="preserve"> – </w:t>
      </w:r>
      <w:r w:rsidR="00BD75D6">
        <w:rPr>
          <w:b/>
        </w:rPr>
        <w:t xml:space="preserve">Share </w:t>
      </w:r>
      <w:r w:rsidR="008A4EDF">
        <w:rPr>
          <w:b/>
        </w:rPr>
        <w:t xml:space="preserve">(%) </w:t>
      </w:r>
      <w:r w:rsidR="00BD75D6">
        <w:rPr>
          <w:b/>
        </w:rPr>
        <w:t xml:space="preserve">of </w:t>
      </w:r>
      <w:r w:rsidR="00D93F26">
        <w:rPr>
          <w:b/>
        </w:rPr>
        <w:t xml:space="preserve">employees </w:t>
      </w:r>
      <w:r w:rsidR="00971BA3">
        <w:rPr>
          <w:b/>
        </w:rPr>
        <w:t xml:space="preserve">who are </w:t>
      </w:r>
      <w:r w:rsidR="00D93F26">
        <w:rPr>
          <w:b/>
        </w:rPr>
        <w:t>working in grad</w:t>
      </w:r>
      <w:r w:rsidR="00EE635C">
        <w:rPr>
          <w:b/>
        </w:rPr>
        <w:t>u</w:t>
      </w:r>
      <w:r w:rsidR="00D93F26">
        <w:rPr>
          <w:b/>
        </w:rPr>
        <w:t>ate level occupations and earning at least £20,000 or £30,000, by UK region, 2015</w:t>
      </w:r>
    </w:p>
    <w:p w14:paraId="1E5A1EDA" w14:textId="77777777" w:rsidR="008D635C" w:rsidRDefault="00D76ACE" w:rsidP="00BD75D6">
      <w:pPr>
        <w:spacing w:after="0" w:line="240" w:lineRule="auto"/>
        <w:rPr>
          <w:b/>
        </w:rPr>
      </w:pPr>
      <w:r>
        <w:rPr>
          <w:noProof/>
          <w:lang w:eastAsia="en-GB"/>
        </w:rPr>
        <w:drawing>
          <wp:inline distT="0" distB="0" distL="0" distR="0" wp14:anchorId="3C8F7D15" wp14:editId="67BE5EE0">
            <wp:extent cx="4905375" cy="3040380"/>
            <wp:effectExtent l="0" t="0" r="9525"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5E59BB" w14:textId="77777777" w:rsidR="00BD75D6" w:rsidRPr="002E7E7B" w:rsidRDefault="00BD75D6" w:rsidP="00BD75D6">
      <w:pPr>
        <w:spacing w:after="0" w:line="240" w:lineRule="auto"/>
        <w:rPr>
          <w:sz w:val="18"/>
          <w:szCs w:val="18"/>
        </w:rPr>
      </w:pPr>
      <w:r w:rsidRPr="002E7E7B">
        <w:rPr>
          <w:sz w:val="18"/>
          <w:szCs w:val="18"/>
        </w:rPr>
        <w:t>Notes: based on analysis of the LFS 2015: Q1-Q4. Includes both full-time and part-time employees.</w:t>
      </w:r>
    </w:p>
    <w:p w14:paraId="78A507D0" w14:textId="77777777" w:rsidR="00BD75D6" w:rsidRDefault="00BD75D6" w:rsidP="00BD75D6">
      <w:pPr>
        <w:spacing w:after="0" w:line="240" w:lineRule="auto"/>
      </w:pPr>
    </w:p>
    <w:p w14:paraId="6E29AF32" w14:textId="77777777" w:rsidR="00150A84" w:rsidRDefault="00594029" w:rsidP="00150A84">
      <w:pPr>
        <w:spacing w:after="0" w:line="240" w:lineRule="auto"/>
        <w:rPr>
          <w:b/>
        </w:rPr>
      </w:pPr>
      <w:r w:rsidRPr="00594029">
        <w:rPr>
          <w:b/>
        </w:rPr>
        <w:t xml:space="preserve">How does this compare with the current distribution of EU migrants in the UK labour market? </w:t>
      </w:r>
    </w:p>
    <w:p w14:paraId="50331304" w14:textId="77777777" w:rsidR="00594029" w:rsidRDefault="00594029" w:rsidP="00150A84">
      <w:pPr>
        <w:spacing w:after="0" w:line="240" w:lineRule="auto"/>
        <w:rPr>
          <w:b/>
        </w:rPr>
      </w:pPr>
    </w:p>
    <w:p w14:paraId="2AEFB447" w14:textId="1393399A" w:rsidR="00594029" w:rsidRDefault="00061D4A" w:rsidP="00594029">
      <w:pPr>
        <w:spacing w:after="0" w:line="240" w:lineRule="auto"/>
        <w:jc w:val="both"/>
      </w:pPr>
      <w:r>
        <w:lastRenderedPageBreak/>
        <w:t xml:space="preserve">As shown in Table </w:t>
      </w:r>
      <w:r w:rsidR="000F6007">
        <w:t>2</w:t>
      </w:r>
      <w:r w:rsidR="00594029">
        <w:t xml:space="preserve">, </w:t>
      </w:r>
      <w:r w:rsidR="004C1834">
        <w:t xml:space="preserve">about one third of EU </w:t>
      </w:r>
      <w:r w:rsidR="007476FE" w:rsidRPr="007476FE">
        <w:t>workers</w:t>
      </w:r>
      <w:r w:rsidR="004C1834">
        <w:t xml:space="preserve"> were in managerial, professional, or technical occupations</w:t>
      </w:r>
      <w:r>
        <w:t xml:space="preserve"> in 2015</w:t>
      </w:r>
      <w:r w:rsidR="00610AD1">
        <w:t xml:space="preserve"> (lines 1-3)</w:t>
      </w:r>
      <w:r w:rsidR="004C1834">
        <w:t xml:space="preserve">. All jobs that are </w:t>
      </w:r>
      <w:r>
        <w:t xml:space="preserve">classified as </w:t>
      </w:r>
      <w:r w:rsidR="004C1834">
        <w:t>‘graduate level’ are in one of these three categories. A</w:t>
      </w:r>
      <w:r w:rsidR="00594029">
        <w:t>bout a quarter of EU nationals are in elementary occupations</w:t>
      </w:r>
      <w:r w:rsidR="00610AD1">
        <w:t xml:space="preserve"> (line 9)</w:t>
      </w:r>
      <w:r w:rsidR="00594029">
        <w:t xml:space="preserve">, which is the lowest occupational skill category. </w:t>
      </w:r>
      <w:r w:rsidR="00B36DCA">
        <w:t xml:space="preserve">By way of comparison, </w:t>
      </w:r>
      <w:r w:rsidR="00B36DCA" w:rsidRPr="008B446E">
        <w:t>a</w:t>
      </w:r>
      <w:r w:rsidRPr="008B446E">
        <w:t>bout</w:t>
      </w:r>
      <w:r w:rsidR="006437C6" w:rsidRPr="008B446E">
        <w:t xml:space="preserve"> 36%</w:t>
      </w:r>
      <w:r>
        <w:t xml:space="preserve"> of the non-EU born were in managerial, professional, or technical occupations</w:t>
      </w:r>
      <w:r w:rsidR="00610AD1">
        <w:t xml:space="preserve"> (1-3)</w:t>
      </w:r>
      <w:r>
        <w:t xml:space="preserve">. This will include many people who came as family migrants rather than workers, or who arrived in previous years when policies permitted migration from outside of the EU into non-graduate jobs. </w:t>
      </w:r>
    </w:p>
    <w:p w14:paraId="48E3C635" w14:textId="77777777" w:rsidR="00594029" w:rsidRDefault="00594029" w:rsidP="00594029">
      <w:pPr>
        <w:spacing w:after="0" w:line="240" w:lineRule="auto"/>
      </w:pPr>
    </w:p>
    <w:p w14:paraId="6537C4DB" w14:textId="6980AFF8" w:rsidR="00594029" w:rsidRPr="008B446E" w:rsidDel="00FD079E" w:rsidRDefault="008B446E" w:rsidP="00594029">
      <w:pPr>
        <w:spacing w:after="0" w:line="240" w:lineRule="auto"/>
        <w:rPr>
          <w:b/>
        </w:rPr>
      </w:pPr>
      <w:r>
        <w:rPr>
          <w:b/>
        </w:rPr>
        <w:t xml:space="preserve">Table </w:t>
      </w:r>
      <w:r w:rsidR="000F6007">
        <w:rPr>
          <w:b/>
        </w:rPr>
        <w:t>2</w:t>
      </w:r>
      <w:r w:rsidR="00594029" w:rsidRPr="003C3BB8" w:rsidDel="00FD079E">
        <w:rPr>
          <w:b/>
        </w:rPr>
        <w:t xml:space="preserve"> – </w:t>
      </w:r>
      <w:r w:rsidR="00061D4A">
        <w:rPr>
          <w:b/>
        </w:rPr>
        <w:t xml:space="preserve">Distribution of workers across </w:t>
      </w:r>
      <w:r w:rsidR="00061D4A" w:rsidRPr="008B446E">
        <w:rPr>
          <w:b/>
        </w:rPr>
        <w:t>occupations, by place of birth, 2015</w:t>
      </w:r>
    </w:p>
    <w:tbl>
      <w:tblPr>
        <w:tblW w:w="8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885"/>
        <w:gridCol w:w="993"/>
        <w:gridCol w:w="993"/>
        <w:gridCol w:w="993"/>
      </w:tblGrid>
      <w:tr w:rsidR="00F54DEA" w:rsidRPr="008B446E" w:rsidDel="00FD079E" w14:paraId="4C935AC7" w14:textId="77777777" w:rsidTr="00F54DEA">
        <w:trPr>
          <w:trHeight w:val="300"/>
        </w:trPr>
        <w:tc>
          <w:tcPr>
            <w:tcW w:w="4800" w:type="dxa"/>
            <w:shd w:val="clear" w:color="auto" w:fill="auto"/>
            <w:noWrap/>
            <w:vAlign w:val="bottom"/>
            <w:hideMark/>
          </w:tcPr>
          <w:p w14:paraId="2787EB17" w14:textId="77777777" w:rsidR="00F54DEA" w:rsidRPr="008B446E" w:rsidDel="00FD079E" w:rsidRDefault="00F54DEA" w:rsidP="004617AD">
            <w:pPr>
              <w:spacing w:after="0" w:line="240" w:lineRule="auto"/>
              <w:rPr>
                <w:rFonts w:ascii="Calibri" w:eastAsia="Times New Roman" w:hAnsi="Calibri" w:cs="Times New Roman"/>
                <w:b/>
                <w:bCs/>
                <w:color w:val="000000"/>
                <w:lang w:eastAsia="en-GB"/>
              </w:rPr>
            </w:pPr>
            <w:r w:rsidRPr="008B446E" w:rsidDel="00FD079E">
              <w:rPr>
                <w:rFonts w:ascii="Calibri" w:eastAsia="Times New Roman" w:hAnsi="Calibri" w:cs="Times New Roman"/>
                <w:b/>
                <w:bCs/>
                <w:color w:val="000000"/>
                <w:lang w:eastAsia="en-GB"/>
              </w:rPr>
              <w:t>Occupational category</w:t>
            </w:r>
          </w:p>
        </w:tc>
        <w:tc>
          <w:tcPr>
            <w:tcW w:w="885" w:type="dxa"/>
            <w:vAlign w:val="center"/>
          </w:tcPr>
          <w:p w14:paraId="0D73C8E8" w14:textId="04996F67" w:rsidR="00F54DEA" w:rsidRPr="008B446E" w:rsidDel="00FD079E" w:rsidRDefault="00F54DEA" w:rsidP="00372CA6">
            <w:pPr>
              <w:spacing w:after="0" w:line="240" w:lineRule="auto"/>
              <w:jc w:val="center"/>
              <w:rPr>
                <w:rFonts w:ascii="Calibri" w:eastAsia="Times New Roman" w:hAnsi="Calibri" w:cs="Times New Roman"/>
                <w:b/>
                <w:bCs/>
                <w:color w:val="000000"/>
                <w:lang w:eastAsia="en-GB"/>
              </w:rPr>
            </w:pPr>
            <w:r w:rsidRPr="008B446E" w:rsidDel="00FD079E">
              <w:rPr>
                <w:rFonts w:ascii="Calibri" w:eastAsia="Times New Roman" w:hAnsi="Calibri" w:cs="Times New Roman"/>
                <w:b/>
                <w:bCs/>
                <w:color w:val="000000"/>
                <w:lang w:eastAsia="en-GB"/>
              </w:rPr>
              <w:t>EU</w:t>
            </w:r>
          </w:p>
        </w:tc>
        <w:tc>
          <w:tcPr>
            <w:tcW w:w="993" w:type="dxa"/>
          </w:tcPr>
          <w:p w14:paraId="2DEF283A" w14:textId="77777777" w:rsidR="00F54DEA" w:rsidRPr="008B446E" w:rsidRDefault="00F54DEA" w:rsidP="004617AD">
            <w:pPr>
              <w:spacing w:after="0" w:line="240" w:lineRule="auto"/>
              <w:jc w:val="center"/>
              <w:rPr>
                <w:rFonts w:ascii="Calibri" w:eastAsia="Times New Roman" w:hAnsi="Calibri" w:cs="Times New Roman"/>
                <w:b/>
                <w:bCs/>
                <w:color w:val="000000"/>
                <w:lang w:eastAsia="en-GB"/>
              </w:rPr>
            </w:pPr>
            <w:r w:rsidRPr="008B446E">
              <w:rPr>
                <w:rFonts w:ascii="Calibri" w:eastAsia="Times New Roman" w:hAnsi="Calibri" w:cs="Times New Roman"/>
                <w:b/>
                <w:bCs/>
                <w:color w:val="000000"/>
                <w:lang w:eastAsia="en-GB"/>
              </w:rPr>
              <w:t>Non-EU</w:t>
            </w:r>
          </w:p>
        </w:tc>
        <w:tc>
          <w:tcPr>
            <w:tcW w:w="993" w:type="dxa"/>
          </w:tcPr>
          <w:p w14:paraId="4AE6F889" w14:textId="77777777" w:rsidR="00F54DEA" w:rsidRPr="008B446E" w:rsidRDefault="00F54DEA" w:rsidP="004617AD">
            <w:pPr>
              <w:spacing w:after="0" w:line="240" w:lineRule="auto"/>
              <w:jc w:val="center"/>
              <w:rPr>
                <w:rFonts w:ascii="Calibri" w:eastAsia="Times New Roman" w:hAnsi="Calibri" w:cs="Times New Roman"/>
                <w:b/>
                <w:bCs/>
                <w:color w:val="000000"/>
                <w:lang w:eastAsia="en-GB"/>
              </w:rPr>
            </w:pPr>
            <w:r w:rsidRPr="008B446E">
              <w:rPr>
                <w:rFonts w:ascii="Calibri" w:eastAsia="Times New Roman" w:hAnsi="Calibri" w:cs="Times New Roman"/>
                <w:b/>
                <w:bCs/>
                <w:color w:val="000000"/>
                <w:lang w:eastAsia="en-GB"/>
              </w:rPr>
              <w:t>UK</w:t>
            </w:r>
          </w:p>
        </w:tc>
        <w:tc>
          <w:tcPr>
            <w:tcW w:w="993" w:type="dxa"/>
          </w:tcPr>
          <w:p w14:paraId="463DD14D" w14:textId="0CE692C6" w:rsidR="00F54DEA" w:rsidRPr="008B446E" w:rsidDel="00FD079E" w:rsidRDefault="00372CA6" w:rsidP="00372CA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All</w:t>
            </w:r>
          </w:p>
        </w:tc>
      </w:tr>
      <w:tr w:rsidR="004F0D2A" w:rsidRPr="008B446E" w:rsidDel="00FD079E" w14:paraId="05B6C11B" w14:textId="77777777" w:rsidTr="007476FE">
        <w:trPr>
          <w:trHeight w:val="300"/>
        </w:trPr>
        <w:tc>
          <w:tcPr>
            <w:tcW w:w="4800" w:type="dxa"/>
            <w:shd w:val="clear" w:color="auto" w:fill="auto"/>
            <w:noWrap/>
            <w:vAlign w:val="bottom"/>
            <w:hideMark/>
          </w:tcPr>
          <w:p w14:paraId="4C0E5C09" w14:textId="77777777" w:rsidR="004F0D2A" w:rsidRPr="008B446E" w:rsidDel="00FD079E" w:rsidRDefault="004F0D2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 xml:space="preserve">1 </w:t>
            </w:r>
            <w:r w:rsidRPr="008B446E" w:rsidDel="00FD079E">
              <w:rPr>
                <w:rFonts w:ascii="Calibri" w:eastAsia="Times New Roman" w:hAnsi="Calibri" w:cs="Times New Roman"/>
                <w:color w:val="000000"/>
                <w:lang w:eastAsia="en-GB"/>
              </w:rPr>
              <w:t>Managers, Directors and Senior Officials</w:t>
            </w:r>
          </w:p>
        </w:tc>
        <w:tc>
          <w:tcPr>
            <w:tcW w:w="885" w:type="dxa"/>
            <w:vAlign w:val="bottom"/>
          </w:tcPr>
          <w:p w14:paraId="5DED93A5" w14:textId="0D53821C"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7</w:t>
            </w:r>
            <w:r w:rsidR="00372CA6">
              <w:rPr>
                <w:rFonts w:ascii="Calibri" w:hAnsi="Calibri"/>
                <w:color w:val="000000"/>
              </w:rPr>
              <w:t>%</w:t>
            </w:r>
          </w:p>
        </w:tc>
        <w:tc>
          <w:tcPr>
            <w:tcW w:w="993" w:type="dxa"/>
            <w:vAlign w:val="bottom"/>
          </w:tcPr>
          <w:p w14:paraId="7E45FAA1" w14:textId="07A05613"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10</w:t>
            </w:r>
            <w:r w:rsidR="00372CA6">
              <w:rPr>
                <w:rFonts w:ascii="Calibri" w:hAnsi="Calibri"/>
                <w:color w:val="000000"/>
              </w:rPr>
              <w:t>%</w:t>
            </w:r>
          </w:p>
        </w:tc>
        <w:tc>
          <w:tcPr>
            <w:tcW w:w="993" w:type="dxa"/>
            <w:vAlign w:val="bottom"/>
          </w:tcPr>
          <w:p w14:paraId="5DACDC96" w14:textId="5B14AC98"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11</w:t>
            </w:r>
            <w:r w:rsidR="00372CA6">
              <w:rPr>
                <w:rFonts w:ascii="Calibri" w:hAnsi="Calibri"/>
                <w:color w:val="000000"/>
              </w:rPr>
              <w:t>%</w:t>
            </w:r>
          </w:p>
        </w:tc>
        <w:tc>
          <w:tcPr>
            <w:tcW w:w="993" w:type="dxa"/>
            <w:vAlign w:val="bottom"/>
          </w:tcPr>
          <w:p w14:paraId="4B974820" w14:textId="35DAC991"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10</w:t>
            </w:r>
            <w:r w:rsidR="00372CA6">
              <w:rPr>
                <w:rFonts w:ascii="Calibri" w:hAnsi="Calibri"/>
                <w:color w:val="000000"/>
              </w:rPr>
              <w:t>%</w:t>
            </w:r>
          </w:p>
        </w:tc>
      </w:tr>
      <w:tr w:rsidR="004F0D2A" w:rsidRPr="008B446E" w:rsidDel="00FD079E" w14:paraId="0010EF63" w14:textId="77777777" w:rsidTr="007476FE">
        <w:trPr>
          <w:trHeight w:val="300"/>
        </w:trPr>
        <w:tc>
          <w:tcPr>
            <w:tcW w:w="4800" w:type="dxa"/>
            <w:shd w:val="clear" w:color="auto" w:fill="auto"/>
            <w:noWrap/>
            <w:vAlign w:val="bottom"/>
            <w:hideMark/>
          </w:tcPr>
          <w:p w14:paraId="4F1AD53E" w14:textId="77777777" w:rsidR="004F0D2A" w:rsidRPr="008B446E" w:rsidDel="00FD079E" w:rsidRDefault="004F0D2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 xml:space="preserve">2 </w:t>
            </w:r>
            <w:r w:rsidRPr="008B446E" w:rsidDel="00FD079E">
              <w:rPr>
                <w:rFonts w:ascii="Calibri" w:eastAsia="Times New Roman" w:hAnsi="Calibri" w:cs="Times New Roman"/>
                <w:color w:val="000000"/>
                <w:lang w:eastAsia="en-GB"/>
              </w:rPr>
              <w:t>Professional</w:t>
            </w:r>
          </w:p>
        </w:tc>
        <w:tc>
          <w:tcPr>
            <w:tcW w:w="885" w:type="dxa"/>
            <w:vAlign w:val="bottom"/>
          </w:tcPr>
          <w:p w14:paraId="53737A59" w14:textId="10169ADB"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17</w:t>
            </w:r>
            <w:r w:rsidR="00372CA6">
              <w:rPr>
                <w:rFonts w:ascii="Calibri" w:hAnsi="Calibri"/>
                <w:color w:val="000000"/>
              </w:rPr>
              <w:t>%</w:t>
            </w:r>
          </w:p>
        </w:tc>
        <w:tc>
          <w:tcPr>
            <w:tcW w:w="993" w:type="dxa"/>
            <w:vAlign w:val="bottom"/>
          </w:tcPr>
          <w:p w14:paraId="10298579" w14:textId="2D12C296"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25</w:t>
            </w:r>
            <w:r w:rsidR="00372CA6">
              <w:rPr>
                <w:rFonts w:ascii="Calibri" w:hAnsi="Calibri"/>
                <w:color w:val="000000"/>
              </w:rPr>
              <w:t>%</w:t>
            </w:r>
          </w:p>
        </w:tc>
        <w:tc>
          <w:tcPr>
            <w:tcW w:w="993" w:type="dxa"/>
            <w:vAlign w:val="bottom"/>
          </w:tcPr>
          <w:p w14:paraId="23F21DF8" w14:textId="432E36FC"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19</w:t>
            </w:r>
            <w:r w:rsidR="00372CA6">
              <w:rPr>
                <w:rFonts w:ascii="Calibri" w:hAnsi="Calibri"/>
                <w:color w:val="000000"/>
              </w:rPr>
              <w:t>%</w:t>
            </w:r>
          </w:p>
        </w:tc>
        <w:tc>
          <w:tcPr>
            <w:tcW w:w="993" w:type="dxa"/>
            <w:vAlign w:val="bottom"/>
          </w:tcPr>
          <w:p w14:paraId="1A74709D" w14:textId="25739F10"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20</w:t>
            </w:r>
            <w:r w:rsidR="00372CA6">
              <w:rPr>
                <w:rFonts w:ascii="Calibri" w:hAnsi="Calibri"/>
                <w:color w:val="000000"/>
              </w:rPr>
              <w:t>%</w:t>
            </w:r>
          </w:p>
        </w:tc>
      </w:tr>
      <w:tr w:rsidR="004F0D2A" w:rsidRPr="008B446E" w:rsidDel="00FD079E" w14:paraId="3E992DFB" w14:textId="77777777" w:rsidTr="007476FE">
        <w:trPr>
          <w:trHeight w:val="300"/>
        </w:trPr>
        <w:tc>
          <w:tcPr>
            <w:tcW w:w="4800" w:type="dxa"/>
            <w:shd w:val="clear" w:color="auto" w:fill="auto"/>
            <w:noWrap/>
            <w:vAlign w:val="bottom"/>
            <w:hideMark/>
          </w:tcPr>
          <w:p w14:paraId="24BC4CDC" w14:textId="77777777" w:rsidR="004F0D2A" w:rsidRPr="008B446E" w:rsidDel="00FD079E" w:rsidRDefault="004F0D2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 xml:space="preserve">3 </w:t>
            </w:r>
            <w:r w:rsidRPr="008B446E" w:rsidDel="00FD079E">
              <w:rPr>
                <w:rFonts w:ascii="Calibri" w:eastAsia="Times New Roman" w:hAnsi="Calibri" w:cs="Times New Roman"/>
                <w:color w:val="000000"/>
                <w:lang w:eastAsia="en-GB"/>
              </w:rPr>
              <w:t>Associate Professional and Technical</w:t>
            </w:r>
          </w:p>
        </w:tc>
        <w:tc>
          <w:tcPr>
            <w:tcW w:w="885" w:type="dxa"/>
            <w:vAlign w:val="bottom"/>
          </w:tcPr>
          <w:p w14:paraId="66DD479F" w14:textId="4E3F8220"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11</w:t>
            </w:r>
            <w:r w:rsidR="00372CA6">
              <w:rPr>
                <w:rFonts w:ascii="Calibri" w:hAnsi="Calibri"/>
                <w:color w:val="000000"/>
              </w:rPr>
              <w:t>%</w:t>
            </w:r>
          </w:p>
        </w:tc>
        <w:tc>
          <w:tcPr>
            <w:tcW w:w="993" w:type="dxa"/>
            <w:vAlign w:val="bottom"/>
          </w:tcPr>
          <w:p w14:paraId="521192FA" w14:textId="43BFCA5C"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11</w:t>
            </w:r>
            <w:r w:rsidR="00372CA6">
              <w:rPr>
                <w:rFonts w:ascii="Calibri" w:hAnsi="Calibri"/>
                <w:color w:val="000000"/>
              </w:rPr>
              <w:t>%</w:t>
            </w:r>
          </w:p>
        </w:tc>
        <w:tc>
          <w:tcPr>
            <w:tcW w:w="993" w:type="dxa"/>
            <w:vAlign w:val="bottom"/>
          </w:tcPr>
          <w:p w14:paraId="07405019" w14:textId="5F002D5F"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14</w:t>
            </w:r>
            <w:r w:rsidR="00372CA6">
              <w:rPr>
                <w:rFonts w:ascii="Calibri" w:hAnsi="Calibri"/>
                <w:color w:val="000000"/>
              </w:rPr>
              <w:t>%</w:t>
            </w:r>
          </w:p>
        </w:tc>
        <w:tc>
          <w:tcPr>
            <w:tcW w:w="993" w:type="dxa"/>
            <w:vAlign w:val="bottom"/>
          </w:tcPr>
          <w:p w14:paraId="494D894D" w14:textId="5FA9E50E"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14</w:t>
            </w:r>
            <w:r w:rsidR="00372CA6">
              <w:rPr>
                <w:rFonts w:ascii="Calibri" w:hAnsi="Calibri"/>
                <w:color w:val="000000"/>
              </w:rPr>
              <w:t>%</w:t>
            </w:r>
          </w:p>
        </w:tc>
      </w:tr>
      <w:tr w:rsidR="004F0D2A" w:rsidRPr="008B446E" w:rsidDel="00FD079E" w14:paraId="5A98CF37" w14:textId="77777777" w:rsidTr="007476FE">
        <w:trPr>
          <w:trHeight w:val="300"/>
        </w:trPr>
        <w:tc>
          <w:tcPr>
            <w:tcW w:w="4800" w:type="dxa"/>
            <w:shd w:val="clear" w:color="auto" w:fill="auto"/>
            <w:noWrap/>
            <w:vAlign w:val="bottom"/>
            <w:hideMark/>
          </w:tcPr>
          <w:p w14:paraId="1585DC50" w14:textId="77777777" w:rsidR="004F0D2A" w:rsidRPr="008B446E" w:rsidDel="00FD079E" w:rsidRDefault="004F0D2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 xml:space="preserve">4 </w:t>
            </w:r>
            <w:r w:rsidRPr="008B446E" w:rsidDel="00FD079E">
              <w:rPr>
                <w:rFonts w:ascii="Calibri" w:eastAsia="Times New Roman" w:hAnsi="Calibri" w:cs="Times New Roman"/>
                <w:color w:val="000000"/>
                <w:lang w:eastAsia="en-GB"/>
              </w:rPr>
              <w:t>Administrative and Secretarial</w:t>
            </w:r>
          </w:p>
        </w:tc>
        <w:tc>
          <w:tcPr>
            <w:tcW w:w="885" w:type="dxa"/>
            <w:vAlign w:val="bottom"/>
          </w:tcPr>
          <w:p w14:paraId="4B61B2A4" w14:textId="756FD2CC"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8</w:t>
            </w:r>
            <w:r w:rsidR="00372CA6">
              <w:rPr>
                <w:rFonts w:ascii="Calibri" w:hAnsi="Calibri"/>
                <w:color w:val="000000"/>
              </w:rPr>
              <w:t>%</w:t>
            </w:r>
          </w:p>
        </w:tc>
        <w:tc>
          <w:tcPr>
            <w:tcW w:w="993" w:type="dxa"/>
            <w:vAlign w:val="bottom"/>
          </w:tcPr>
          <w:p w14:paraId="7E0F25A6" w14:textId="2FC30B68"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8</w:t>
            </w:r>
            <w:r w:rsidR="00372CA6">
              <w:rPr>
                <w:rFonts w:ascii="Calibri" w:hAnsi="Calibri"/>
                <w:color w:val="000000"/>
              </w:rPr>
              <w:t>%</w:t>
            </w:r>
          </w:p>
        </w:tc>
        <w:tc>
          <w:tcPr>
            <w:tcW w:w="993" w:type="dxa"/>
            <w:vAlign w:val="bottom"/>
          </w:tcPr>
          <w:p w14:paraId="26245CF9" w14:textId="24D98ED3"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11</w:t>
            </w:r>
            <w:r w:rsidR="00372CA6">
              <w:rPr>
                <w:rFonts w:ascii="Calibri" w:hAnsi="Calibri"/>
                <w:color w:val="000000"/>
              </w:rPr>
              <w:t>%</w:t>
            </w:r>
          </w:p>
        </w:tc>
        <w:tc>
          <w:tcPr>
            <w:tcW w:w="993" w:type="dxa"/>
            <w:vAlign w:val="bottom"/>
          </w:tcPr>
          <w:p w14:paraId="5C0F861C" w14:textId="13C5256D"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11</w:t>
            </w:r>
            <w:r w:rsidR="00372CA6">
              <w:rPr>
                <w:rFonts w:ascii="Calibri" w:hAnsi="Calibri"/>
                <w:color w:val="000000"/>
              </w:rPr>
              <w:t>%</w:t>
            </w:r>
          </w:p>
        </w:tc>
      </w:tr>
      <w:tr w:rsidR="004F0D2A" w:rsidRPr="008B446E" w:rsidDel="00FD079E" w14:paraId="21A57825" w14:textId="77777777" w:rsidTr="007476FE">
        <w:trPr>
          <w:trHeight w:val="300"/>
        </w:trPr>
        <w:tc>
          <w:tcPr>
            <w:tcW w:w="4800" w:type="dxa"/>
            <w:shd w:val="clear" w:color="auto" w:fill="auto"/>
            <w:noWrap/>
            <w:vAlign w:val="bottom"/>
            <w:hideMark/>
          </w:tcPr>
          <w:p w14:paraId="3352522A" w14:textId="77777777" w:rsidR="004F0D2A" w:rsidRPr="008B446E" w:rsidDel="00FD079E" w:rsidRDefault="004F0D2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 xml:space="preserve">5 </w:t>
            </w:r>
            <w:r w:rsidRPr="008B446E" w:rsidDel="00FD079E">
              <w:rPr>
                <w:rFonts w:ascii="Calibri" w:eastAsia="Times New Roman" w:hAnsi="Calibri" w:cs="Times New Roman"/>
                <w:color w:val="000000"/>
                <w:lang w:eastAsia="en-GB"/>
              </w:rPr>
              <w:t>Skilled Trades</w:t>
            </w:r>
          </w:p>
        </w:tc>
        <w:tc>
          <w:tcPr>
            <w:tcW w:w="885" w:type="dxa"/>
            <w:vAlign w:val="bottom"/>
          </w:tcPr>
          <w:p w14:paraId="7826DF49" w14:textId="5DF6DFC2"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12</w:t>
            </w:r>
            <w:r w:rsidR="00372CA6">
              <w:rPr>
                <w:rFonts w:ascii="Calibri" w:hAnsi="Calibri"/>
                <w:color w:val="000000"/>
              </w:rPr>
              <w:t>%</w:t>
            </w:r>
          </w:p>
        </w:tc>
        <w:tc>
          <w:tcPr>
            <w:tcW w:w="993" w:type="dxa"/>
            <w:vAlign w:val="bottom"/>
          </w:tcPr>
          <w:p w14:paraId="0650DF0C" w14:textId="68996268"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8</w:t>
            </w:r>
            <w:r w:rsidR="00372CA6">
              <w:rPr>
                <w:rFonts w:ascii="Calibri" w:hAnsi="Calibri"/>
                <w:color w:val="000000"/>
              </w:rPr>
              <w:t>%</w:t>
            </w:r>
          </w:p>
        </w:tc>
        <w:tc>
          <w:tcPr>
            <w:tcW w:w="993" w:type="dxa"/>
            <w:vAlign w:val="bottom"/>
          </w:tcPr>
          <w:p w14:paraId="678975A5" w14:textId="4948EB0D"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11</w:t>
            </w:r>
            <w:r w:rsidR="00372CA6">
              <w:rPr>
                <w:rFonts w:ascii="Calibri" w:hAnsi="Calibri"/>
                <w:color w:val="000000"/>
              </w:rPr>
              <w:t>%</w:t>
            </w:r>
          </w:p>
        </w:tc>
        <w:tc>
          <w:tcPr>
            <w:tcW w:w="993" w:type="dxa"/>
            <w:vAlign w:val="bottom"/>
          </w:tcPr>
          <w:p w14:paraId="1F73342D" w14:textId="0D398A30"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11</w:t>
            </w:r>
            <w:r w:rsidR="00372CA6">
              <w:rPr>
                <w:rFonts w:ascii="Calibri" w:hAnsi="Calibri"/>
                <w:color w:val="000000"/>
              </w:rPr>
              <w:t>%</w:t>
            </w:r>
          </w:p>
        </w:tc>
      </w:tr>
      <w:tr w:rsidR="004F0D2A" w:rsidRPr="008B446E" w:rsidDel="00FD079E" w14:paraId="3872A098" w14:textId="77777777" w:rsidTr="007476FE">
        <w:trPr>
          <w:trHeight w:val="300"/>
        </w:trPr>
        <w:tc>
          <w:tcPr>
            <w:tcW w:w="4800" w:type="dxa"/>
            <w:shd w:val="clear" w:color="auto" w:fill="auto"/>
            <w:noWrap/>
            <w:vAlign w:val="bottom"/>
            <w:hideMark/>
          </w:tcPr>
          <w:p w14:paraId="63FED617" w14:textId="77777777" w:rsidR="004F0D2A" w:rsidRPr="008B446E" w:rsidDel="00FD079E" w:rsidRDefault="004F0D2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 xml:space="preserve">6 </w:t>
            </w:r>
            <w:r w:rsidRPr="008B446E" w:rsidDel="00FD079E">
              <w:rPr>
                <w:rFonts w:ascii="Calibri" w:eastAsia="Times New Roman" w:hAnsi="Calibri" w:cs="Times New Roman"/>
                <w:color w:val="000000"/>
                <w:lang w:eastAsia="en-GB"/>
              </w:rPr>
              <w:t>Caring, Leisure and Other Service</w:t>
            </w:r>
          </w:p>
        </w:tc>
        <w:tc>
          <w:tcPr>
            <w:tcW w:w="885" w:type="dxa"/>
            <w:vAlign w:val="bottom"/>
          </w:tcPr>
          <w:p w14:paraId="42682877" w14:textId="62F2F4DC"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9</w:t>
            </w:r>
            <w:r w:rsidR="00372CA6">
              <w:rPr>
                <w:rFonts w:ascii="Calibri" w:hAnsi="Calibri"/>
                <w:color w:val="000000"/>
              </w:rPr>
              <w:t>%</w:t>
            </w:r>
          </w:p>
        </w:tc>
        <w:tc>
          <w:tcPr>
            <w:tcW w:w="993" w:type="dxa"/>
            <w:vAlign w:val="bottom"/>
          </w:tcPr>
          <w:p w14:paraId="30E53D97" w14:textId="5F611083"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11</w:t>
            </w:r>
            <w:r w:rsidR="00372CA6">
              <w:rPr>
                <w:rFonts w:ascii="Calibri" w:hAnsi="Calibri"/>
                <w:color w:val="000000"/>
              </w:rPr>
              <w:t>%</w:t>
            </w:r>
          </w:p>
        </w:tc>
        <w:tc>
          <w:tcPr>
            <w:tcW w:w="993" w:type="dxa"/>
            <w:vAlign w:val="bottom"/>
          </w:tcPr>
          <w:p w14:paraId="657893F5" w14:textId="0D6E269F"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9</w:t>
            </w:r>
            <w:r w:rsidR="00372CA6">
              <w:rPr>
                <w:rFonts w:ascii="Calibri" w:hAnsi="Calibri"/>
                <w:color w:val="000000"/>
              </w:rPr>
              <w:t>%</w:t>
            </w:r>
          </w:p>
        </w:tc>
        <w:tc>
          <w:tcPr>
            <w:tcW w:w="993" w:type="dxa"/>
            <w:vAlign w:val="bottom"/>
          </w:tcPr>
          <w:p w14:paraId="5DD1107E" w14:textId="737700C4"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9</w:t>
            </w:r>
            <w:r w:rsidR="00372CA6">
              <w:rPr>
                <w:rFonts w:ascii="Calibri" w:hAnsi="Calibri"/>
                <w:color w:val="000000"/>
              </w:rPr>
              <w:t>%</w:t>
            </w:r>
          </w:p>
        </w:tc>
      </w:tr>
      <w:tr w:rsidR="004F0D2A" w:rsidRPr="008B446E" w:rsidDel="00FD079E" w14:paraId="03B845B3" w14:textId="77777777" w:rsidTr="007476FE">
        <w:trPr>
          <w:trHeight w:val="300"/>
        </w:trPr>
        <w:tc>
          <w:tcPr>
            <w:tcW w:w="4800" w:type="dxa"/>
            <w:shd w:val="clear" w:color="auto" w:fill="auto"/>
            <w:noWrap/>
            <w:vAlign w:val="bottom"/>
            <w:hideMark/>
          </w:tcPr>
          <w:p w14:paraId="2087B37F" w14:textId="77777777" w:rsidR="004F0D2A" w:rsidRPr="008B446E" w:rsidDel="00FD079E" w:rsidRDefault="004F0D2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 xml:space="preserve">7 </w:t>
            </w:r>
            <w:r w:rsidRPr="008B446E" w:rsidDel="00FD079E">
              <w:rPr>
                <w:rFonts w:ascii="Calibri" w:eastAsia="Times New Roman" w:hAnsi="Calibri" w:cs="Times New Roman"/>
                <w:color w:val="000000"/>
                <w:lang w:eastAsia="en-GB"/>
              </w:rPr>
              <w:t>Sales and Customer Service</w:t>
            </w:r>
          </w:p>
        </w:tc>
        <w:tc>
          <w:tcPr>
            <w:tcW w:w="885" w:type="dxa"/>
            <w:vAlign w:val="bottom"/>
          </w:tcPr>
          <w:p w14:paraId="10FDE588" w14:textId="1DA87E88"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4</w:t>
            </w:r>
            <w:r w:rsidR="00372CA6">
              <w:rPr>
                <w:rFonts w:ascii="Calibri" w:hAnsi="Calibri"/>
                <w:color w:val="000000"/>
              </w:rPr>
              <w:t>%</w:t>
            </w:r>
          </w:p>
        </w:tc>
        <w:tc>
          <w:tcPr>
            <w:tcW w:w="993" w:type="dxa"/>
            <w:vAlign w:val="bottom"/>
          </w:tcPr>
          <w:p w14:paraId="775B5670" w14:textId="29C35E8A"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7</w:t>
            </w:r>
            <w:r w:rsidR="00372CA6">
              <w:rPr>
                <w:rFonts w:ascii="Calibri" w:hAnsi="Calibri"/>
                <w:color w:val="000000"/>
              </w:rPr>
              <w:t>%</w:t>
            </w:r>
          </w:p>
        </w:tc>
        <w:tc>
          <w:tcPr>
            <w:tcW w:w="993" w:type="dxa"/>
            <w:vAlign w:val="bottom"/>
          </w:tcPr>
          <w:p w14:paraId="06100432" w14:textId="55CC4D85"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8</w:t>
            </w:r>
            <w:r w:rsidR="00372CA6">
              <w:rPr>
                <w:rFonts w:ascii="Calibri" w:hAnsi="Calibri"/>
                <w:color w:val="000000"/>
              </w:rPr>
              <w:t>%</w:t>
            </w:r>
          </w:p>
        </w:tc>
        <w:tc>
          <w:tcPr>
            <w:tcW w:w="993" w:type="dxa"/>
            <w:vAlign w:val="bottom"/>
          </w:tcPr>
          <w:p w14:paraId="2F7DAF3B" w14:textId="37655B49"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8</w:t>
            </w:r>
            <w:r w:rsidR="00372CA6">
              <w:rPr>
                <w:rFonts w:ascii="Calibri" w:hAnsi="Calibri"/>
                <w:color w:val="000000"/>
              </w:rPr>
              <w:t>%</w:t>
            </w:r>
          </w:p>
        </w:tc>
      </w:tr>
      <w:tr w:rsidR="004F0D2A" w:rsidRPr="008B446E" w:rsidDel="00FD079E" w14:paraId="2332D605" w14:textId="77777777" w:rsidTr="007476FE">
        <w:trPr>
          <w:trHeight w:val="300"/>
        </w:trPr>
        <w:tc>
          <w:tcPr>
            <w:tcW w:w="4800" w:type="dxa"/>
            <w:shd w:val="clear" w:color="auto" w:fill="auto"/>
            <w:noWrap/>
            <w:vAlign w:val="bottom"/>
            <w:hideMark/>
          </w:tcPr>
          <w:p w14:paraId="4F56A0A5" w14:textId="77777777" w:rsidR="004F0D2A" w:rsidRPr="008B446E" w:rsidDel="00FD079E" w:rsidRDefault="004F0D2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 xml:space="preserve">8 </w:t>
            </w:r>
            <w:r w:rsidRPr="008B446E" w:rsidDel="00FD079E">
              <w:rPr>
                <w:rFonts w:ascii="Calibri" w:eastAsia="Times New Roman" w:hAnsi="Calibri" w:cs="Times New Roman"/>
                <w:color w:val="000000"/>
                <w:lang w:eastAsia="en-GB"/>
              </w:rPr>
              <w:t>Process, Plant and Machine Operatives</w:t>
            </w:r>
          </w:p>
        </w:tc>
        <w:tc>
          <w:tcPr>
            <w:tcW w:w="885" w:type="dxa"/>
            <w:vAlign w:val="bottom"/>
          </w:tcPr>
          <w:p w14:paraId="495DB1C2" w14:textId="640ADC61"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12</w:t>
            </w:r>
            <w:r w:rsidR="00372CA6">
              <w:rPr>
                <w:rFonts w:ascii="Calibri" w:hAnsi="Calibri"/>
                <w:color w:val="000000"/>
              </w:rPr>
              <w:t>%</w:t>
            </w:r>
          </w:p>
        </w:tc>
        <w:tc>
          <w:tcPr>
            <w:tcW w:w="993" w:type="dxa"/>
            <w:vAlign w:val="bottom"/>
          </w:tcPr>
          <w:p w14:paraId="2A7934D2" w14:textId="470E8BA8"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7</w:t>
            </w:r>
            <w:r w:rsidR="00372CA6">
              <w:rPr>
                <w:rFonts w:ascii="Calibri" w:hAnsi="Calibri"/>
                <w:color w:val="000000"/>
              </w:rPr>
              <w:t>%</w:t>
            </w:r>
          </w:p>
        </w:tc>
        <w:tc>
          <w:tcPr>
            <w:tcW w:w="993" w:type="dxa"/>
            <w:vAlign w:val="bottom"/>
          </w:tcPr>
          <w:p w14:paraId="06EC31DC" w14:textId="19C6C428"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6</w:t>
            </w:r>
            <w:r w:rsidR="00372CA6">
              <w:rPr>
                <w:rFonts w:ascii="Calibri" w:hAnsi="Calibri"/>
                <w:color w:val="000000"/>
              </w:rPr>
              <w:t>%</w:t>
            </w:r>
          </w:p>
        </w:tc>
        <w:tc>
          <w:tcPr>
            <w:tcW w:w="993" w:type="dxa"/>
            <w:vAlign w:val="bottom"/>
          </w:tcPr>
          <w:p w14:paraId="2E418908" w14:textId="466BD191"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6</w:t>
            </w:r>
            <w:r w:rsidR="00372CA6">
              <w:rPr>
                <w:rFonts w:ascii="Calibri" w:hAnsi="Calibri"/>
                <w:color w:val="000000"/>
              </w:rPr>
              <w:t>%</w:t>
            </w:r>
          </w:p>
        </w:tc>
      </w:tr>
      <w:tr w:rsidR="004F0D2A" w:rsidRPr="008B446E" w:rsidDel="00FD079E" w14:paraId="00A71D1D" w14:textId="77777777" w:rsidTr="007476FE">
        <w:trPr>
          <w:trHeight w:val="300"/>
        </w:trPr>
        <w:tc>
          <w:tcPr>
            <w:tcW w:w="4800" w:type="dxa"/>
            <w:shd w:val="clear" w:color="auto" w:fill="auto"/>
            <w:noWrap/>
            <w:vAlign w:val="bottom"/>
            <w:hideMark/>
          </w:tcPr>
          <w:p w14:paraId="704936AF" w14:textId="77777777" w:rsidR="004F0D2A" w:rsidRPr="008B446E" w:rsidDel="00FD079E" w:rsidRDefault="004F0D2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9 Elementary</w:t>
            </w:r>
          </w:p>
        </w:tc>
        <w:tc>
          <w:tcPr>
            <w:tcW w:w="885" w:type="dxa"/>
            <w:vAlign w:val="bottom"/>
          </w:tcPr>
          <w:p w14:paraId="43C3D29B" w14:textId="0FB55F31"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22</w:t>
            </w:r>
            <w:r w:rsidR="00372CA6">
              <w:rPr>
                <w:rFonts w:ascii="Calibri" w:hAnsi="Calibri"/>
                <w:color w:val="000000"/>
              </w:rPr>
              <w:t>%</w:t>
            </w:r>
          </w:p>
        </w:tc>
        <w:tc>
          <w:tcPr>
            <w:tcW w:w="993" w:type="dxa"/>
            <w:vAlign w:val="bottom"/>
          </w:tcPr>
          <w:p w14:paraId="4A73680A" w14:textId="1410765D"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13</w:t>
            </w:r>
            <w:r w:rsidR="00372CA6">
              <w:rPr>
                <w:rFonts w:ascii="Calibri" w:hAnsi="Calibri"/>
                <w:color w:val="000000"/>
              </w:rPr>
              <w:t>%</w:t>
            </w:r>
          </w:p>
        </w:tc>
        <w:tc>
          <w:tcPr>
            <w:tcW w:w="993" w:type="dxa"/>
            <w:vAlign w:val="bottom"/>
          </w:tcPr>
          <w:p w14:paraId="486B1868" w14:textId="795FE807" w:rsidR="004F0D2A" w:rsidRPr="008B446E" w:rsidRDefault="004F0D2A" w:rsidP="004617AD">
            <w:pPr>
              <w:spacing w:after="0" w:line="240" w:lineRule="auto"/>
              <w:jc w:val="center"/>
              <w:rPr>
                <w:rFonts w:ascii="Calibri" w:hAnsi="Calibri"/>
                <w:color w:val="000000"/>
              </w:rPr>
            </w:pPr>
            <w:r w:rsidRPr="008B446E">
              <w:rPr>
                <w:rFonts w:ascii="Calibri" w:hAnsi="Calibri"/>
                <w:color w:val="000000"/>
              </w:rPr>
              <w:t>10</w:t>
            </w:r>
            <w:r w:rsidR="00372CA6">
              <w:rPr>
                <w:rFonts w:ascii="Calibri" w:hAnsi="Calibri"/>
                <w:color w:val="000000"/>
              </w:rPr>
              <w:t>%</w:t>
            </w:r>
          </w:p>
        </w:tc>
        <w:tc>
          <w:tcPr>
            <w:tcW w:w="993" w:type="dxa"/>
            <w:vAlign w:val="bottom"/>
          </w:tcPr>
          <w:p w14:paraId="4F942047" w14:textId="31537D8B" w:rsidR="004F0D2A" w:rsidRPr="008B446E" w:rsidDel="00FD079E" w:rsidRDefault="004F0D2A" w:rsidP="004617AD">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11</w:t>
            </w:r>
            <w:r w:rsidR="00372CA6">
              <w:rPr>
                <w:rFonts w:ascii="Calibri" w:hAnsi="Calibri"/>
                <w:color w:val="000000"/>
              </w:rPr>
              <w:t>%</w:t>
            </w:r>
          </w:p>
        </w:tc>
      </w:tr>
      <w:tr w:rsidR="00061D4A" w:rsidRPr="00EC24C5" w:rsidDel="00FD079E" w14:paraId="037D01F3" w14:textId="77777777" w:rsidTr="00F54DEA">
        <w:trPr>
          <w:trHeight w:val="300"/>
        </w:trPr>
        <w:tc>
          <w:tcPr>
            <w:tcW w:w="4800" w:type="dxa"/>
            <w:shd w:val="clear" w:color="auto" w:fill="auto"/>
            <w:noWrap/>
            <w:vAlign w:val="bottom"/>
          </w:tcPr>
          <w:p w14:paraId="2614826E" w14:textId="77777777" w:rsidR="00061D4A" w:rsidRPr="008B446E" w:rsidRDefault="00061D4A"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All occupations</w:t>
            </w:r>
          </w:p>
        </w:tc>
        <w:tc>
          <w:tcPr>
            <w:tcW w:w="885" w:type="dxa"/>
            <w:vAlign w:val="bottom"/>
          </w:tcPr>
          <w:p w14:paraId="7BDC85D5" w14:textId="3C118822" w:rsidR="00061D4A" w:rsidRPr="008B446E" w:rsidRDefault="00061D4A" w:rsidP="004617AD">
            <w:pPr>
              <w:spacing w:after="0" w:line="240" w:lineRule="auto"/>
              <w:jc w:val="center"/>
              <w:rPr>
                <w:rFonts w:ascii="Calibri" w:hAnsi="Calibri"/>
                <w:color w:val="000000"/>
              </w:rPr>
            </w:pPr>
            <w:r w:rsidRPr="008B446E">
              <w:rPr>
                <w:rFonts w:ascii="Calibri" w:hAnsi="Calibri"/>
                <w:color w:val="000000"/>
              </w:rPr>
              <w:t>100</w:t>
            </w:r>
            <w:r w:rsidR="00372CA6">
              <w:rPr>
                <w:rFonts w:ascii="Calibri" w:hAnsi="Calibri"/>
                <w:color w:val="000000"/>
              </w:rPr>
              <w:t>%</w:t>
            </w:r>
          </w:p>
        </w:tc>
        <w:tc>
          <w:tcPr>
            <w:tcW w:w="993" w:type="dxa"/>
          </w:tcPr>
          <w:p w14:paraId="560739D8" w14:textId="56998874" w:rsidR="00061D4A" w:rsidRPr="008B446E" w:rsidRDefault="00061D4A" w:rsidP="004617AD">
            <w:pPr>
              <w:spacing w:after="0" w:line="240" w:lineRule="auto"/>
              <w:jc w:val="center"/>
              <w:rPr>
                <w:rFonts w:ascii="Calibri" w:hAnsi="Calibri"/>
                <w:color w:val="000000"/>
              </w:rPr>
            </w:pPr>
            <w:r w:rsidRPr="008B446E">
              <w:rPr>
                <w:rFonts w:ascii="Calibri" w:hAnsi="Calibri"/>
                <w:color w:val="000000"/>
              </w:rPr>
              <w:t>100</w:t>
            </w:r>
            <w:r w:rsidR="00372CA6">
              <w:rPr>
                <w:rFonts w:ascii="Calibri" w:hAnsi="Calibri"/>
                <w:color w:val="000000"/>
              </w:rPr>
              <w:t>%</w:t>
            </w:r>
          </w:p>
        </w:tc>
        <w:tc>
          <w:tcPr>
            <w:tcW w:w="993" w:type="dxa"/>
          </w:tcPr>
          <w:p w14:paraId="6E4306A2" w14:textId="6F5548E7" w:rsidR="00061D4A" w:rsidRPr="008B446E" w:rsidRDefault="00061D4A" w:rsidP="004617AD">
            <w:pPr>
              <w:spacing w:after="0" w:line="240" w:lineRule="auto"/>
              <w:jc w:val="center"/>
              <w:rPr>
                <w:rFonts w:ascii="Calibri" w:hAnsi="Calibri"/>
                <w:color w:val="000000"/>
              </w:rPr>
            </w:pPr>
            <w:r w:rsidRPr="008B446E">
              <w:rPr>
                <w:rFonts w:ascii="Calibri" w:hAnsi="Calibri"/>
                <w:color w:val="000000"/>
              </w:rPr>
              <w:t>100</w:t>
            </w:r>
            <w:r w:rsidR="00372CA6">
              <w:rPr>
                <w:rFonts w:ascii="Calibri" w:hAnsi="Calibri"/>
                <w:color w:val="000000"/>
              </w:rPr>
              <w:t>%</w:t>
            </w:r>
          </w:p>
        </w:tc>
        <w:tc>
          <w:tcPr>
            <w:tcW w:w="993" w:type="dxa"/>
            <w:vAlign w:val="bottom"/>
          </w:tcPr>
          <w:p w14:paraId="1C6255A9" w14:textId="6B041D7A" w:rsidR="00061D4A" w:rsidRDefault="00061D4A" w:rsidP="004617AD">
            <w:pPr>
              <w:spacing w:after="0" w:line="240" w:lineRule="auto"/>
              <w:jc w:val="center"/>
              <w:rPr>
                <w:rFonts w:ascii="Calibri" w:hAnsi="Calibri"/>
                <w:color w:val="000000"/>
              </w:rPr>
            </w:pPr>
            <w:r w:rsidRPr="008B446E">
              <w:rPr>
                <w:rFonts w:ascii="Calibri" w:hAnsi="Calibri"/>
                <w:color w:val="000000"/>
              </w:rPr>
              <w:t>100</w:t>
            </w:r>
            <w:r w:rsidR="00372CA6">
              <w:rPr>
                <w:rFonts w:ascii="Calibri" w:hAnsi="Calibri"/>
                <w:color w:val="000000"/>
              </w:rPr>
              <w:t>%</w:t>
            </w:r>
          </w:p>
        </w:tc>
      </w:tr>
    </w:tbl>
    <w:p w14:paraId="6DC07AAD" w14:textId="77777777" w:rsidR="00594029" w:rsidRPr="00061D4A" w:rsidRDefault="00594029" w:rsidP="00594029">
      <w:pPr>
        <w:spacing w:after="0" w:line="240" w:lineRule="auto"/>
        <w:rPr>
          <w:sz w:val="18"/>
          <w:szCs w:val="18"/>
        </w:rPr>
      </w:pPr>
      <w:r w:rsidRPr="00061D4A">
        <w:rPr>
          <w:sz w:val="18"/>
          <w:szCs w:val="18"/>
        </w:rPr>
        <w:t>Notes: based on analysis of the LFS 2015: Q1-Q4. Percentages are rounded. Includes both full-time and part-time employees.</w:t>
      </w:r>
    </w:p>
    <w:p w14:paraId="0C2F2FEB" w14:textId="77777777" w:rsidR="00594029" w:rsidRDefault="00594029" w:rsidP="00150A84">
      <w:pPr>
        <w:spacing w:after="0" w:line="240" w:lineRule="auto"/>
        <w:rPr>
          <w:b/>
        </w:rPr>
      </w:pPr>
    </w:p>
    <w:p w14:paraId="094E0199" w14:textId="608C07CA" w:rsidR="00594029" w:rsidRDefault="008B446E" w:rsidP="00594029">
      <w:pPr>
        <w:spacing w:after="0" w:line="240" w:lineRule="auto"/>
        <w:jc w:val="both"/>
      </w:pPr>
      <w:r>
        <w:t xml:space="preserve">Table </w:t>
      </w:r>
      <w:r w:rsidR="000F6007">
        <w:t>3</w:t>
      </w:r>
      <w:r w:rsidR="00594029">
        <w:t xml:space="preserve"> provides information on the </w:t>
      </w:r>
      <w:r w:rsidR="00594029" w:rsidRPr="008B446E">
        <w:t xml:space="preserve">industries in which </w:t>
      </w:r>
      <w:r w:rsidR="00061D4A" w:rsidRPr="008B446E">
        <w:t xml:space="preserve">the </w:t>
      </w:r>
      <w:r w:rsidR="00594029" w:rsidRPr="008B446E">
        <w:t xml:space="preserve">EU </w:t>
      </w:r>
      <w:r w:rsidR="00061D4A" w:rsidRPr="008B446E">
        <w:t xml:space="preserve">born </w:t>
      </w:r>
      <w:r w:rsidR="00594029" w:rsidRPr="008B446E">
        <w:t>work. The “Distribution, Hotels and Restaurants” industry category employs the largest</w:t>
      </w:r>
      <w:r w:rsidR="00594029">
        <w:t xml:space="preserve"> number of EU </w:t>
      </w:r>
      <w:r w:rsidR="00B92C33">
        <w:t>born</w:t>
      </w:r>
      <w:r w:rsidR="00233741">
        <w:t xml:space="preserve"> workers</w:t>
      </w:r>
      <w:r w:rsidR="00594029">
        <w:t xml:space="preserve">. </w:t>
      </w:r>
      <w:r w:rsidR="00233741">
        <w:t xml:space="preserve">This is notable because, as shown above, it is one of the industries in which the lowest share of workers are in jobs that meet the current Tier 2 visa requirements. </w:t>
      </w:r>
    </w:p>
    <w:p w14:paraId="109FF90A" w14:textId="77777777" w:rsidR="00594029" w:rsidRDefault="00594029" w:rsidP="00594029">
      <w:pPr>
        <w:spacing w:after="0" w:line="240" w:lineRule="auto"/>
        <w:jc w:val="both"/>
      </w:pPr>
    </w:p>
    <w:p w14:paraId="6421BFC9" w14:textId="77777777" w:rsidR="00594029" w:rsidRDefault="00594029" w:rsidP="00594029">
      <w:pPr>
        <w:spacing w:after="0" w:line="240" w:lineRule="auto"/>
        <w:jc w:val="both"/>
      </w:pPr>
      <w:r>
        <w:t xml:space="preserve">“Public administration, Education and Health” and “Banking and Finance” are also major employers of EU nationals. </w:t>
      </w:r>
      <w:r w:rsidR="00233741">
        <w:t xml:space="preserve">These are industries in which larger shares—albeit still a minority—of the workforce are in graduate-level jobs paying at least £20,000. </w:t>
      </w:r>
    </w:p>
    <w:p w14:paraId="7DC762F9" w14:textId="77777777" w:rsidR="00594029" w:rsidRDefault="00594029" w:rsidP="00594029">
      <w:pPr>
        <w:spacing w:after="0" w:line="240" w:lineRule="auto"/>
        <w:jc w:val="both"/>
      </w:pPr>
    </w:p>
    <w:p w14:paraId="652CEC4E" w14:textId="23F463F7" w:rsidR="00594029" w:rsidRPr="008B446E" w:rsidRDefault="008B446E" w:rsidP="00594029">
      <w:pPr>
        <w:spacing w:after="0" w:line="240" w:lineRule="auto"/>
        <w:jc w:val="both"/>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Table </w:t>
      </w:r>
      <w:r w:rsidR="000F6007">
        <w:rPr>
          <w:rFonts w:ascii="Calibri" w:eastAsia="Times New Roman" w:hAnsi="Calibri" w:cs="Times New Roman"/>
          <w:b/>
          <w:color w:val="000000"/>
          <w:lang w:eastAsia="en-GB"/>
        </w:rPr>
        <w:t>3</w:t>
      </w:r>
      <w:r w:rsidR="00594029" w:rsidRPr="00D17C44">
        <w:rPr>
          <w:rFonts w:ascii="Calibri" w:eastAsia="Times New Roman" w:hAnsi="Calibri" w:cs="Times New Roman"/>
          <w:b/>
          <w:color w:val="000000"/>
          <w:lang w:eastAsia="en-GB"/>
        </w:rPr>
        <w:t xml:space="preserve"> – </w:t>
      </w:r>
      <w:r w:rsidR="00B92C33">
        <w:rPr>
          <w:rFonts w:ascii="Calibri" w:eastAsia="Times New Roman" w:hAnsi="Calibri" w:cs="Times New Roman"/>
          <w:b/>
          <w:color w:val="000000"/>
          <w:lang w:eastAsia="en-GB"/>
        </w:rPr>
        <w:t xml:space="preserve">Distribution of workers across industries, by </w:t>
      </w:r>
      <w:r w:rsidR="00B92C33" w:rsidRPr="008B446E">
        <w:rPr>
          <w:rFonts w:ascii="Calibri" w:eastAsia="Times New Roman" w:hAnsi="Calibri" w:cs="Times New Roman"/>
          <w:b/>
          <w:color w:val="000000"/>
          <w:lang w:eastAsia="en-GB"/>
        </w:rPr>
        <w:t>place of birth, 2015</w:t>
      </w:r>
    </w:p>
    <w:tbl>
      <w:tblPr>
        <w:tblW w:w="7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049"/>
        <w:gridCol w:w="1002"/>
        <w:gridCol w:w="708"/>
        <w:gridCol w:w="708"/>
      </w:tblGrid>
      <w:tr w:rsidR="00B92C33" w:rsidRPr="008B446E" w14:paraId="7DE0C8CB" w14:textId="77777777" w:rsidTr="009B58CF">
        <w:trPr>
          <w:trHeight w:val="300"/>
        </w:trPr>
        <w:tc>
          <w:tcPr>
            <w:tcW w:w="4268" w:type="dxa"/>
            <w:shd w:val="clear" w:color="auto" w:fill="auto"/>
            <w:noWrap/>
            <w:vAlign w:val="bottom"/>
            <w:hideMark/>
          </w:tcPr>
          <w:p w14:paraId="0772644D" w14:textId="77777777" w:rsidR="00B92C33" w:rsidRPr="008B446E" w:rsidRDefault="00B92C33" w:rsidP="004617AD">
            <w:pPr>
              <w:spacing w:after="0" w:line="240" w:lineRule="auto"/>
              <w:rPr>
                <w:rFonts w:ascii="Calibri" w:eastAsia="Times New Roman" w:hAnsi="Calibri" w:cs="Times New Roman"/>
                <w:b/>
                <w:bCs/>
                <w:color w:val="000000"/>
                <w:lang w:eastAsia="en-GB"/>
              </w:rPr>
            </w:pPr>
            <w:r w:rsidRPr="008B446E">
              <w:rPr>
                <w:rFonts w:ascii="Calibri" w:eastAsia="Times New Roman" w:hAnsi="Calibri" w:cs="Times New Roman"/>
                <w:b/>
                <w:bCs/>
                <w:color w:val="000000"/>
                <w:lang w:eastAsia="en-GB"/>
              </w:rPr>
              <w:t>Industry sectors</w:t>
            </w:r>
          </w:p>
        </w:tc>
        <w:tc>
          <w:tcPr>
            <w:tcW w:w="1074" w:type="dxa"/>
            <w:vAlign w:val="center"/>
          </w:tcPr>
          <w:p w14:paraId="4A7E8A08" w14:textId="77777777" w:rsidR="00B92C33" w:rsidRPr="008B446E" w:rsidRDefault="00B92C33" w:rsidP="004617AD">
            <w:pPr>
              <w:spacing w:after="0" w:line="240" w:lineRule="auto"/>
              <w:jc w:val="center"/>
              <w:rPr>
                <w:rFonts w:ascii="Calibri" w:eastAsia="Times New Roman" w:hAnsi="Calibri" w:cs="Times New Roman"/>
                <w:b/>
                <w:bCs/>
                <w:color w:val="000000"/>
                <w:lang w:eastAsia="en-GB"/>
              </w:rPr>
            </w:pPr>
            <w:r w:rsidRPr="008B446E">
              <w:rPr>
                <w:rFonts w:ascii="Calibri" w:eastAsia="Times New Roman" w:hAnsi="Calibri" w:cs="Times New Roman"/>
                <w:b/>
                <w:bCs/>
                <w:color w:val="000000"/>
                <w:lang w:eastAsia="en-GB"/>
              </w:rPr>
              <w:t>All EU</w:t>
            </w:r>
          </w:p>
        </w:tc>
        <w:tc>
          <w:tcPr>
            <w:tcW w:w="1024" w:type="dxa"/>
          </w:tcPr>
          <w:p w14:paraId="73822740" w14:textId="77777777" w:rsidR="00B92C33" w:rsidRPr="008B446E" w:rsidRDefault="00B92C33" w:rsidP="004617AD">
            <w:pPr>
              <w:spacing w:after="0" w:line="240" w:lineRule="auto"/>
              <w:jc w:val="center"/>
              <w:rPr>
                <w:rFonts w:ascii="Calibri" w:eastAsia="Times New Roman" w:hAnsi="Calibri" w:cs="Times New Roman"/>
                <w:b/>
                <w:bCs/>
                <w:color w:val="000000"/>
                <w:lang w:eastAsia="en-GB"/>
              </w:rPr>
            </w:pPr>
            <w:r w:rsidRPr="008B446E">
              <w:rPr>
                <w:rFonts w:ascii="Calibri" w:eastAsia="Times New Roman" w:hAnsi="Calibri" w:cs="Times New Roman"/>
                <w:b/>
                <w:bCs/>
                <w:color w:val="000000"/>
                <w:lang w:eastAsia="en-GB"/>
              </w:rPr>
              <w:t>Non-EU</w:t>
            </w:r>
          </w:p>
        </w:tc>
        <w:tc>
          <w:tcPr>
            <w:tcW w:w="682" w:type="dxa"/>
          </w:tcPr>
          <w:p w14:paraId="6328B3FD" w14:textId="77777777" w:rsidR="00B92C33" w:rsidRPr="008B446E" w:rsidRDefault="00B92C33" w:rsidP="004617AD">
            <w:pPr>
              <w:spacing w:after="0" w:line="240" w:lineRule="auto"/>
              <w:jc w:val="center"/>
              <w:rPr>
                <w:rFonts w:ascii="Calibri" w:eastAsia="Times New Roman" w:hAnsi="Calibri" w:cs="Times New Roman"/>
                <w:b/>
                <w:bCs/>
                <w:color w:val="000000"/>
                <w:lang w:eastAsia="en-GB"/>
              </w:rPr>
            </w:pPr>
            <w:r w:rsidRPr="008B446E">
              <w:rPr>
                <w:rFonts w:ascii="Calibri" w:eastAsia="Times New Roman" w:hAnsi="Calibri" w:cs="Times New Roman"/>
                <w:b/>
                <w:bCs/>
                <w:color w:val="000000"/>
                <w:lang w:eastAsia="en-GB"/>
              </w:rPr>
              <w:t>UK</w:t>
            </w:r>
          </w:p>
        </w:tc>
        <w:tc>
          <w:tcPr>
            <w:tcW w:w="687" w:type="dxa"/>
          </w:tcPr>
          <w:p w14:paraId="2B8DE6EC" w14:textId="77777777" w:rsidR="00B92C33" w:rsidRPr="008B446E" w:rsidRDefault="00B92C33" w:rsidP="004617AD">
            <w:pPr>
              <w:spacing w:after="0" w:line="240" w:lineRule="auto"/>
              <w:jc w:val="center"/>
              <w:rPr>
                <w:rFonts w:ascii="Calibri" w:eastAsia="Times New Roman" w:hAnsi="Calibri" w:cs="Times New Roman"/>
                <w:b/>
                <w:bCs/>
                <w:color w:val="000000"/>
                <w:lang w:eastAsia="en-GB"/>
              </w:rPr>
            </w:pPr>
            <w:r w:rsidRPr="008B446E">
              <w:rPr>
                <w:rFonts w:ascii="Calibri" w:eastAsia="Times New Roman" w:hAnsi="Calibri" w:cs="Times New Roman"/>
                <w:b/>
                <w:bCs/>
                <w:color w:val="000000"/>
                <w:lang w:eastAsia="en-GB"/>
              </w:rPr>
              <w:t>All</w:t>
            </w:r>
          </w:p>
        </w:tc>
      </w:tr>
      <w:tr w:rsidR="009B58CF" w:rsidRPr="008B446E" w14:paraId="13C9E19D" w14:textId="77777777" w:rsidTr="007476FE">
        <w:trPr>
          <w:trHeight w:val="300"/>
        </w:trPr>
        <w:tc>
          <w:tcPr>
            <w:tcW w:w="4268" w:type="dxa"/>
            <w:shd w:val="clear" w:color="auto" w:fill="auto"/>
            <w:noWrap/>
            <w:vAlign w:val="bottom"/>
            <w:hideMark/>
          </w:tcPr>
          <w:p w14:paraId="33840484" w14:textId="77777777" w:rsidR="009B58CF" w:rsidRPr="008B446E" w:rsidRDefault="009B58CF"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Agriculture, Forestry and Fishing</w:t>
            </w:r>
          </w:p>
        </w:tc>
        <w:tc>
          <w:tcPr>
            <w:tcW w:w="1074" w:type="dxa"/>
            <w:vAlign w:val="bottom"/>
          </w:tcPr>
          <w:p w14:paraId="6AADFDAA" w14:textId="40DBC723" w:rsidR="009B58CF" w:rsidRPr="008B446E" w:rsidRDefault="009B58CF" w:rsidP="008B446E">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w:t>
            </w:r>
            <w:r w:rsidR="006051CC">
              <w:rPr>
                <w:rFonts w:ascii="Calibri" w:hAnsi="Calibri"/>
                <w:color w:val="000000"/>
              </w:rPr>
              <w:t>%</w:t>
            </w:r>
          </w:p>
        </w:tc>
        <w:tc>
          <w:tcPr>
            <w:tcW w:w="1024" w:type="dxa"/>
            <w:vAlign w:val="bottom"/>
          </w:tcPr>
          <w:p w14:paraId="2FE94810" w14:textId="383A4E48"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0.3</w:t>
            </w:r>
            <w:r w:rsidR="006051CC">
              <w:rPr>
                <w:rFonts w:ascii="Calibri" w:hAnsi="Calibri"/>
                <w:color w:val="000000"/>
              </w:rPr>
              <w:t>%</w:t>
            </w:r>
          </w:p>
        </w:tc>
        <w:tc>
          <w:tcPr>
            <w:tcW w:w="682" w:type="dxa"/>
            <w:vAlign w:val="bottom"/>
          </w:tcPr>
          <w:p w14:paraId="237E5778" w14:textId="5BADDAEB"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w:t>
            </w:r>
            <w:r w:rsidR="006051CC">
              <w:rPr>
                <w:rFonts w:ascii="Calibri" w:hAnsi="Calibri"/>
                <w:color w:val="000000"/>
              </w:rPr>
              <w:t>%</w:t>
            </w:r>
          </w:p>
        </w:tc>
        <w:tc>
          <w:tcPr>
            <w:tcW w:w="687" w:type="dxa"/>
            <w:vAlign w:val="bottom"/>
          </w:tcPr>
          <w:p w14:paraId="40EE5F46" w14:textId="5CE32E43"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w:t>
            </w:r>
            <w:r w:rsidR="006051CC">
              <w:rPr>
                <w:rFonts w:ascii="Calibri" w:hAnsi="Calibri"/>
                <w:color w:val="000000"/>
              </w:rPr>
              <w:t>%</w:t>
            </w:r>
          </w:p>
        </w:tc>
      </w:tr>
      <w:tr w:rsidR="009B58CF" w:rsidRPr="008B446E" w14:paraId="1BABF820" w14:textId="77777777" w:rsidTr="007476FE">
        <w:trPr>
          <w:trHeight w:val="300"/>
        </w:trPr>
        <w:tc>
          <w:tcPr>
            <w:tcW w:w="4268" w:type="dxa"/>
            <w:shd w:val="clear" w:color="auto" w:fill="auto"/>
            <w:noWrap/>
            <w:vAlign w:val="bottom"/>
            <w:hideMark/>
          </w:tcPr>
          <w:p w14:paraId="42E10E11" w14:textId="77777777" w:rsidR="009B58CF" w:rsidRPr="008B446E" w:rsidRDefault="009B58CF"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Energy and Water</w:t>
            </w:r>
          </w:p>
        </w:tc>
        <w:tc>
          <w:tcPr>
            <w:tcW w:w="1074" w:type="dxa"/>
            <w:vAlign w:val="bottom"/>
          </w:tcPr>
          <w:p w14:paraId="4EE56756" w14:textId="4A734F8C" w:rsidR="009B58CF" w:rsidRPr="008B446E" w:rsidRDefault="009B58CF" w:rsidP="008B446E">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w:t>
            </w:r>
            <w:r w:rsidR="006051CC">
              <w:rPr>
                <w:rFonts w:ascii="Calibri" w:hAnsi="Calibri"/>
                <w:color w:val="000000"/>
              </w:rPr>
              <w:t>%</w:t>
            </w:r>
          </w:p>
        </w:tc>
        <w:tc>
          <w:tcPr>
            <w:tcW w:w="1024" w:type="dxa"/>
            <w:vAlign w:val="bottom"/>
          </w:tcPr>
          <w:p w14:paraId="51BA1AD1" w14:textId="2FD9ECCF"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w:t>
            </w:r>
            <w:r w:rsidR="006051CC">
              <w:rPr>
                <w:rFonts w:ascii="Calibri" w:hAnsi="Calibri"/>
                <w:color w:val="000000"/>
              </w:rPr>
              <w:t>%</w:t>
            </w:r>
          </w:p>
        </w:tc>
        <w:tc>
          <w:tcPr>
            <w:tcW w:w="682" w:type="dxa"/>
            <w:vAlign w:val="bottom"/>
          </w:tcPr>
          <w:p w14:paraId="6BA3B630" w14:textId="37B45F16"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2</w:t>
            </w:r>
            <w:r w:rsidR="006051CC">
              <w:rPr>
                <w:rFonts w:ascii="Calibri" w:hAnsi="Calibri"/>
                <w:color w:val="000000"/>
              </w:rPr>
              <w:t>%</w:t>
            </w:r>
          </w:p>
        </w:tc>
        <w:tc>
          <w:tcPr>
            <w:tcW w:w="687" w:type="dxa"/>
            <w:vAlign w:val="bottom"/>
          </w:tcPr>
          <w:p w14:paraId="02914FB8" w14:textId="1272B72E"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2</w:t>
            </w:r>
            <w:r w:rsidR="006051CC">
              <w:rPr>
                <w:rFonts w:ascii="Calibri" w:hAnsi="Calibri"/>
                <w:color w:val="000000"/>
              </w:rPr>
              <w:t>%</w:t>
            </w:r>
          </w:p>
        </w:tc>
      </w:tr>
      <w:tr w:rsidR="009B58CF" w:rsidRPr="008B446E" w14:paraId="3B614510" w14:textId="77777777" w:rsidTr="007476FE">
        <w:trPr>
          <w:trHeight w:val="300"/>
        </w:trPr>
        <w:tc>
          <w:tcPr>
            <w:tcW w:w="4268" w:type="dxa"/>
            <w:shd w:val="clear" w:color="auto" w:fill="auto"/>
            <w:noWrap/>
            <w:vAlign w:val="bottom"/>
            <w:hideMark/>
          </w:tcPr>
          <w:p w14:paraId="2F5A9289" w14:textId="77777777" w:rsidR="009B58CF" w:rsidRPr="008B446E" w:rsidRDefault="009B58CF"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Manufacturing</w:t>
            </w:r>
          </w:p>
        </w:tc>
        <w:tc>
          <w:tcPr>
            <w:tcW w:w="1074" w:type="dxa"/>
            <w:vAlign w:val="bottom"/>
          </w:tcPr>
          <w:p w14:paraId="40B45102" w14:textId="44BF92CA" w:rsidR="009B58CF" w:rsidRPr="008B446E" w:rsidRDefault="009B58CF" w:rsidP="008B446E">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15</w:t>
            </w:r>
            <w:r w:rsidR="006051CC">
              <w:rPr>
                <w:rFonts w:ascii="Calibri" w:hAnsi="Calibri"/>
                <w:color w:val="000000"/>
              </w:rPr>
              <w:t>%</w:t>
            </w:r>
          </w:p>
        </w:tc>
        <w:tc>
          <w:tcPr>
            <w:tcW w:w="1024" w:type="dxa"/>
            <w:vAlign w:val="bottom"/>
          </w:tcPr>
          <w:p w14:paraId="60949F41" w14:textId="565E9412"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6</w:t>
            </w:r>
            <w:r w:rsidR="006051CC">
              <w:rPr>
                <w:rFonts w:ascii="Calibri" w:hAnsi="Calibri"/>
                <w:color w:val="000000"/>
              </w:rPr>
              <w:t>%</w:t>
            </w:r>
          </w:p>
        </w:tc>
        <w:tc>
          <w:tcPr>
            <w:tcW w:w="682" w:type="dxa"/>
            <w:vAlign w:val="bottom"/>
          </w:tcPr>
          <w:p w14:paraId="40AE5F2C" w14:textId="1DB0902F"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10</w:t>
            </w:r>
            <w:r w:rsidR="006051CC">
              <w:rPr>
                <w:rFonts w:ascii="Calibri" w:hAnsi="Calibri"/>
                <w:color w:val="000000"/>
              </w:rPr>
              <w:t>%</w:t>
            </w:r>
          </w:p>
        </w:tc>
        <w:tc>
          <w:tcPr>
            <w:tcW w:w="687" w:type="dxa"/>
            <w:vAlign w:val="bottom"/>
          </w:tcPr>
          <w:p w14:paraId="7C85FDA9" w14:textId="55EA1655"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10</w:t>
            </w:r>
            <w:r w:rsidR="006051CC">
              <w:rPr>
                <w:rFonts w:ascii="Calibri" w:hAnsi="Calibri"/>
                <w:color w:val="000000"/>
              </w:rPr>
              <w:t>%</w:t>
            </w:r>
          </w:p>
        </w:tc>
      </w:tr>
      <w:tr w:rsidR="009B58CF" w:rsidRPr="008B446E" w14:paraId="353414A4" w14:textId="77777777" w:rsidTr="007476FE">
        <w:trPr>
          <w:trHeight w:val="300"/>
        </w:trPr>
        <w:tc>
          <w:tcPr>
            <w:tcW w:w="4268" w:type="dxa"/>
            <w:shd w:val="clear" w:color="auto" w:fill="auto"/>
            <w:noWrap/>
            <w:vAlign w:val="bottom"/>
            <w:hideMark/>
          </w:tcPr>
          <w:p w14:paraId="1DA35CA4" w14:textId="77777777" w:rsidR="009B58CF" w:rsidRPr="008B446E" w:rsidRDefault="009B58CF"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Construction</w:t>
            </w:r>
          </w:p>
        </w:tc>
        <w:tc>
          <w:tcPr>
            <w:tcW w:w="1074" w:type="dxa"/>
            <w:vAlign w:val="bottom"/>
          </w:tcPr>
          <w:p w14:paraId="1F25D3A6" w14:textId="046F1C90" w:rsidR="009B58CF" w:rsidRPr="008B446E" w:rsidRDefault="009B58CF" w:rsidP="008B446E">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8</w:t>
            </w:r>
            <w:r w:rsidR="006051CC">
              <w:rPr>
                <w:rFonts w:ascii="Calibri" w:hAnsi="Calibri"/>
                <w:color w:val="000000"/>
              </w:rPr>
              <w:t>%</w:t>
            </w:r>
          </w:p>
        </w:tc>
        <w:tc>
          <w:tcPr>
            <w:tcW w:w="1024" w:type="dxa"/>
            <w:vAlign w:val="bottom"/>
          </w:tcPr>
          <w:p w14:paraId="09355981" w14:textId="05634C56"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4</w:t>
            </w:r>
            <w:r w:rsidR="006051CC">
              <w:rPr>
                <w:rFonts w:ascii="Calibri" w:hAnsi="Calibri"/>
                <w:color w:val="000000"/>
              </w:rPr>
              <w:t>%</w:t>
            </w:r>
          </w:p>
        </w:tc>
        <w:tc>
          <w:tcPr>
            <w:tcW w:w="682" w:type="dxa"/>
            <w:vAlign w:val="bottom"/>
          </w:tcPr>
          <w:p w14:paraId="5EB7674E" w14:textId="19980F9A"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8</w:t>
            </w:r>
            <w:r w:rsidR="006051CC">
              <w:rPr>
                <w:rFonts w:ascii="Calibri" w:hAnsi="Calibri"/>
                <w:color w:val="000000"/>
              </w:rPr>
              <w:t>%</w:t>
            </w:r>
          </w:p>
        </w:tc>
        <w:tc>
          <w:tcPr>
            <w:tcW w:w="687" w:type="dxa"/>
            <w:vAlign w:val="bottom"/>
          </w:tcPr>
          <w:p w14:paraId="3D02F314" w14:textId="1067A4AE"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7</w:t>
            </w:r>
            <w:r w:rsidR="006051CC">
              <w:rPr>
                <w:rFonts w:ascii="Calibri" w:hAnsi="Calibri"/>
                <w:color w:val="000000"/>
              </w:rPr>
              <w:t>%</w:t>
            </w:r>
          </w:p>
        </w:tc>
      </w:tr>
      <w:tr w:rsidR="009B58CF" w:rsidRPr="008B446E" w14:paraId="5AA04340" w14:textId="77777777" w:rsidTr="007476FE">
        <w:trPr>
          <w:trHeight w:val="300"/>
        </w:trPr>
        <w:tc>
          <w:tcPr>
            <w:tcW w:w="4268" w:type="dxa"/>
            <w:shd w:val="clear" w:color="auto" w:fill="auto"/>
            <w:noWrap/>
            <w:vAlign w:val="bottom"/>
            <w:hideMark/>
          </w:tcPr>
          <w:p w14:paraId="2A08B145" w14:textId="77777777" w:rsidR="009B58CF" w:rsidRPr="008B446E" w:rsidRDefault="009B58CF"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Distribution, Hotels and Restaurants</w:t>
            </w:r>
          </w:p>
        </w:tc>
        <w:tc>
          <w:tcPr>
            <w:tcW w:w="1074" w:type="dxa"/>
            <w:vAlign w:val="bottom"/>
          </w:tcPr>
          <w:p w14:paraId="2A8567CE" w14:textId="35A7773C" w:rsidR="009B58CF" w:rsidRPr="008B446E" w:rsidRDefault="009B58CF" w:rsidP="008B446E">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22</w:t>
            </w:r>
            <w:r w:rsidR="006051CC">
              <w:rPr>
                <w:rFonts w:ascii="Calibri" w:hAnsi="Calibri"/>
                <w:color w:val="000000"/>
              </w:rPr>
              <w:t>%</w:t>
            </w:r>
          </w:p>
        </w:tc>
        <w:tc>
          <w:tcPr>
            <w:tcW w:w="1024" w:type="dxa"/>
            <w:vAlign w:val="bottom"/>
          </w:tcPr>
          <w:p w14:paraId="5AEC051A" w14:textId="4D7431E5"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22</w:t>
            </w:r>
            <w:r w:rsidR="006051CC">
              <w:rPr>
                <w:rFonts w:ascii="Calibri" w:hAnsi="Calibri"/>
                <w:color w:val="000000"/>
              </w:rPr>
              <w:t>%</w:t>
            </w:r>
          </w:p>
        </w:tc>
        <w:tc>
          <w:tcPr>
            <w:tcW w:w="682" w:type="dxa"/>
            <w:vAlign w:val="bottom"/>
          </w:tcPr>
          <w:p w14:paraId="2B8CAA49" w14:textId="799B4715"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18</w:t>
            </w:r>
            <w:r w:rsidR="006051CC">
              <w:rPr>
                <w:rFonts w:ascii="Calibri" w:hAnsi="Calibri"/>
                <w:color w:val="000000"/>
              </w:rPr>
              <w:t>%</w:t>
            </w:r>
          </w:p>
        </w:tc>
        <w:tc>
          <w:tcPr>
            <w:tcW w:w="687" w:type="dxa"/>
            <w:vAlign w:val="bottom"/>
          </w:tcPr>
          <w:p w14:paraId="4E6D8551" w14:textId="73256CF7"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19</w:t>
            </w:r>
            <w:r w:rsidR="006051CC">
              <w:rPr>
                <w:rFonts w:ascii="Calibri" w:hAnsi="Calibri"/>
                <w:color w:val="000000"/>
              </w:rPr>
              <w:t>%</w:t>
            </w:r>
          </w:p>
        </w:tc>
      </w:tr>
      <w:tr w:rsidR="009B58CF" w:rsidRPr="008B446E" w14:paraId="717B962E" w14:textId="77777777" w:rsidTr="007476FE">
        <w:trPr>
          <w:trHeight w:val="300"/>
        </w:trPr>
        <w:tc>
          <w:tcPr>
            <w:tcW w:w="4268" w:type="dxa"/>
            <w:shd w:val="clear" w:color="auto" w:fill="auto"/>
            <w:noWrap/>
            <w:vAlign w:val="bottom"/>
            <w:hideMark/>
          </w:tcPr>
          <w:p w14:paraId="5140CB63" w14:textId="77777777" w:rsidR="009B58CF" w:rsidRPr="008B446E" w:rsidRDefault="009B58CF"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Transport and Communication</w:t>
            </w:r>
          </w:p>
        </w:tc>
        <w:tc>
          <w:tcPr>
            <w:tcW w:w="1074" w:type="dxa"/>
            <w:vAlign w:val="bottom"/>
          </w:tcPr>
          <w:p w14:paraId="3DC76656" w14:textId="7496181A" w:rsidR="009B58CF" w:rsidRPr="008B446E" w:rsidRDefault="009B58CF" w:rsidP="008B446E">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10</w:t>
            </w:r>
            <w:r w:rsidR="006051CC">
              <w:rPr>
                <w:rFonts w:ascii="Calibri" w:hAnsi="Calibri"/>
                <w:color w:val="000000"/>
              </w:rPr>
              <w:t>%</w:t>
            </w:r>
          </w:p>
        </w:tc>
        <w:tc>
          <w:tcPr>
            <w:tcW w:w="1024" w:type="dxa"/>
            <w:vAlign w:val="bottom"/>
          </w:tcPr>
          <w:p w14:paraId="25ADD520" w14:textId="7DAAEFEF"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13</w:t>
            </w:r>
            <w:r w:rsidR="006051CC">
              <w:rPr>
                <w:rFonts w:ascii="Calibri" w:hAnsi="Calibri"/>
                <w:color w:val="000000"/>
              </w:rPr>
              <w:t>%</w:t>
            </w:r>
          </w:p>
        </w:tc>
        <w:tc>
          <w:tcPr>
            <w:tcW w:w="682" w:type="dxa"/>
            <w:vAlign w:val="bottom"/>
          </w:tcPr>
          <w:p w14:paraId="18D5E4F9" w14:textId="5502DD0D"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9</w:t>
            </w:r>
            <w:r w:rsidR="006051CC">
              <w:rPr>
                <w:rFonts w:ascii="Calibri" w:hAnsi="Calibri"/>
                <w:color w:val="000000"/>
              </w:rPr>
              <w:t>%</w:t>
            </w:r>
          </w:p>
        </w:tc>
        <w:tc>
          <w:tcPr>
            <w:tcW w:w="687" w:type="dxa"/>
            <w:vAlign w:val="bottom"/>
          </w:tcPr>
          <w:p w14:paraId="60BDEEB6" w14:textId="7DD2440D"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9</w:t>
            </w:r>
            <w:r w:rsidR="006051CC">
              <w:rPr>
                <w:rFonts w:ascii="Calibri" w:hAnsi="Calibri"/>
                <w:color w:val="000000"/>
              </w:rPr>
              <w:t>%</w:t>
            </w:r>
          </w:p>
        </w:tc>
      </w:tr>
      <w:tr w:rsidR="009B58CF" w:rsidRPr="008B446E" w14:paraId="46E3D501" w14:textId="77777777" w:rsidTr="007476FE">
        <w:trPr>
          <w:trHeight w:val="300"/>
        </w:trPr>
        <w:tc>
          <w:tcPr>
            <w:tcW w:w="4268" w:type="dxa"/>
            <w:shd w:val="clear" w:color="auto" w:fill="auto"/>
            <w:noWrap/>
            <w:vAlign w:val="bottom"/>
            <w:hideMark/>
          </w:tcPr>
          <w:p w14:paraId="2D3D494A" w14:textId="77777777" w:rsidR="009B58CF" w:rsidRPr="008B446E" w:rsidRDefault="009B58CF"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Banking and finance</w:t>
            </w:r>
          </w:p>
        </w:tc>
        <w:tc>
          <w:tcPr>
            <w:tcW w:w="1074" w:type="dxa"/>
            <w:vAlign w:val="bottom"/>
          </w:tcPr>
          <w:p w14:paraId="233168FC" w14:textId="3D279F72" w:rsidR="009B58CF" w:rsidRPr="008B446E" w:rsidRDefault="009B58CF" w:rsidP="008B446E">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18</w:t>
            </w:r>
            <w:r w:rsidR="006051CC">
              <w:rPr>
                <w:rFonts w:ascii="Calibri" w:hAnsi="Calibri"/>
                <w:color w:val="000000"/>
              </w:rPr>
              <w:t>%</w:t>
            </w:r>
          </w:p>
        </w:tc>
        <w:tc>
          <w:tcPr>
            <w:tcW w:w="1024" w:type="dxa"/>
            <w:vAlign w:val="bottom"/>
          </w:tcPr>
          <w:p w14:paraId="399561DD" w14:textId="21C3AA8C"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18</w:t>
            </w:r>
            <w:r w:rsidR="006051CC">
              <w:rPr>
                <w:rFonts w:ascii="Calibri" w:hAnsi="Calibri"/>
                <w:color w:val="000000"/>
              </w:rPr>
              <w:t>%</w:t>
            </w:r>
          </w:p>
        </w:tc>
        <w:tc>
          <w:tcPr>
            <w:tcW w:w="682" w:type="dxa"/>
            <w:vAlign w:val="bottom"/>
          </w:tcPr>
          <w:p w14:paraId="32D83EB7" w14:textId="69E70F44"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17</w:t>
            </w:r>
            <w:r w:rsidR="006051CC">
              <w:rPr>
                <w:rFonts w:ascii="Calibri" w:hAnsi="Calibri"/>
                <w:color w:val="000000"/>
              </w:rPr>
              <w:t>%</w:t>
            </w:r>
          </w:p>
        </w:tc>
        <w:tc>
          <w:tcPr>
            <w:tcW w:w="687" w:type="dxa"/>
            <w:vAlign w:val="bottom"/>
          </w:tcPr>
          <w:p w14:paraId="2CEACDBF" w14:textId="06899E89"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17</w:t>
            </w:r>
            <w:r w:rsidR="006051CC">
              <w:rPr>
                <w:rFonts w:ascii="Calibri" w:hAnsi="Calibri"/>
                <w:color w:val="000000"/>
              </w:rPr>
              <w:t>%</w:t>
            </w:r>
          </w:p>
        </w:tc>
      </w:tr>
      <w:tr w:rsidR="009B58CF" w:rsidRPr="008B446E" w14:paraId="5B6A13AC" w14:textId="77777777" w:rsidTr="007476FE">
        <w:trPr>
          <w:trHeight w:val="300"/>
        </w:trPr>
        <w:tc>
          <w:tcPr>
            <w:tcW w:w="4268" w:type="dxa"/>
            <w:shd w:val="clear" w:color="auto" w:fill="auto"/>
            <w:noWrap/>
            <w:vAlign w:val="bottom"/>
            <w:hideMark/>
          </w:tcPr>
          <w:p w14:paraId="2D6F5F2E" w14:textId="77777777" w:rsidR="009B58CF" w:rsidRPr="008B446E" w:rsidRDefault="009B58CF"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Public administration, Education and Health</w:t>
            </w:r>
          </w:p>
        </w:tc>
        <w:tc>
          <w:tcPr>
            <w:tcW w:w="1074" w:type="dxa"/>
            <w:vAlign w:val="bottom"/>
          </w:tcPr>
          <w:p w14:paraId="24A33D0E" w14:textId="341CB7F3" w:rsidR="009B58CF" w:rsidRPr="008B446E" w:rsidRDefault="009B58CF" w:rsidP="008B446E">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21</w:t>
            </w:r>
            <w:r w:rsidR="006051CC">
              <w:rPr>
                <w:rFonts w:ascii="Calibri" w:hAnsi="Calibri"/>
                <w:color w:val="000000"/>
              </w:rPr>
              <w:t>%</w:t>
            </w:r>
          </w:p>
        </w:tc>
        <w:tc>
          <w:tcPr>
            <w:tcW w:w="1024" w:type="dxa"/>
            <w:vAlign w:val="bottom"/>
          </w:tcPr>
          <w:p w14:paraId="256A17A8" w14:textId="6A72871C"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30</w:t>
            </w:r>
            <w:r w:rsidR="006051CC">
              <w:rPr>
                <w:rFonts w:ascii="Calibri" w:hAnsi="Calibri"/>
                <w:color w:val="000000"/>
              </w:rPr>
              <w:t>%</w:t>
            </w:r>
          </w:p>
        </w:tc>
        <w:tc>
          <w:tcPr>
            <w:tcW w:w="682" w:type="dxa"/>
            <w:vAlign w:val="bottom"/>
          </w:tcPr>
          <w:p w14:paraId="721A4C23" w14:textId="604191D9"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31</w:t>
            </w:r>
            <w:r w:rsidR="006051CC">
              <w:rPr>
                <w:rFonts w:ascii="Calibri" w:hAnsi="Calibri"/>
                <w:color w:val="000000"/>
              </w:rPr>
              <w:t>%</w:t>
            </w:r>
          </w:p>
        </w:tc>
        <w:tc>
          <w:tcPr>
            <w:tcW w:w="687" w:type="dxa"/>
            <w:vAlign w:val="bottom"/>
          </w:tcPr>
          <w:p w14:paraId="75E7DF2F" w14:textId="6893B254"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30</w:t>
            </w:r>
            <w:r w:rsidR="006051CC">
              <w:rPr>
                <w:rFonts w:ascii="Calibri" w:hAnsi="Calibri"/>
                <w:color w:val="000000"/>
              </w:rPr>
              <w:t>%</w:t>
            </w:r>
          </w:p>
        </w:tc>
      </w:tr>
      <w:tr w:rsidR="009B58CF" w:rsidRPr="008B446E" w14:paraId="1830B4F8" w14:textId="77777777" w:rsidTr="007476FE">
        <w:trPr>
          <w:trHeight w:val="300"/>
        </w:trPr>
        <w:tc>
          <w:tcPr>
            <w:tcW w:w="4268" w:type="dxa"/>
            <w:shd w:val="clear" w:color="auto" w:fill="auto"/>
            <w:noWrap/>
            <w:vAlign w:val="bottom"/>
            <w:hideMark/>
          </w:tcPr>
          <w:p w14:paraId="0F81823B" w14:textId="77777777" w:rsidR="009B58CF" w:rsidRPr="008B446E" w:rsidRDefault="009B58CF"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Other services</w:t>
            </w:r>
          </w:p>
        </w:tc>
        <w:tc>
          <w:tcPr>
            <w:tcW w:w="1074" w:type="dxa"/>
            <w:vAlign w:val="bottom"/>
          </w:tcPr>
          <w:p w14:paraId="766DD59E" w14:textId="4CC9AF75" w:rsidR="009B58CF" w:rsidRPr="008B446E" w:rsidRDefault="009B58CF" w:rsidP="008B446E">
            <w:pPr>
              <w:spacing w:after="0" w:line="240" w:lineRule="auto"/>
              <w:jc w:val="center"/>
              <w:rPr>
                <w:rFonts w:ascii="Calibri" w:eastAsia="Times New Roman" w:hAnsi="Calibri" w:cs="Times New Roman"/>
                <w:color w:val="000000"/>
                <w:lang w:eastAsia="en-GB"/>
              </w:rPr>
            </w:pPr>
            <w:r w:rsidRPr="008B446E">
              <w:rPr>
                <w:rFonts w:ascii="Calibri" w:hAnsi="Calibri"/>
                <w:color w:val="000000"/>
              </w:rPr>
              <w:t>5</w:t>
            </w:r>
            <w:r w:rsidR="006051CC">
              <w:rPr>
                <w:rFonts w:ascii="Calibri" w:hAnsi="Calibri"/>
                <w:color w:val="000000"/>
              </w:rPr>
              <w:t>%</w:t>
            </w:r>
          </w:p>
        </w:tc>
        <w:tc>
          <w:tcPr>
            <w:tcW w:w="1024" w:type="dxa"/>
            <w:vAlign w:val="bottom"/>
          </w:tcPr>
          <w:p w14:paraId="6EA8F379" w14:textId="46B63D99"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5</w:t>
            </w:r>
            <w:r w:rsidR="006051CC">
              <w:rPr>
                <w:rFonts w:ascii="Calibri" w:hAnsi="Calibri"/>
                <w:color w:val="000000"/>
              </w:rPr>
              <w:t>%</w:t>
            </w:r>
          </w:p>
        </w:tc>
        <w:tc>
          <w:tcPr>
            <w:tcW w:w="682" w:type="dxa"/>
            <w:vAlign w:val="bottom"/>
          </w:tcPr>
          <w:p w14:paraId="62916A82" w14:textId="4E850C1F"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6</w:t>
            </w:r>
            <w:r w:rsidR="006051CC">
              <w:rPr>
                <w:rFonts w:ascii="Calibri" w:hAnsi="Calibri"/>
                <w:color w:val="000000"/>
              </w:rPr>
              <w:t>%</w:t>
            </w:r>
          </w:p>
        </w:tc>
        <w:tc>
          <w:tcPr>
            <w:tcW w:w="687" w:type="dxa"/>
            <w:vAlign w:val="bottom"/>
          </w:tcPr>
          <w:p w14:paraId="7FAFD94F" w14:textId="052D2214" w:rsidR="009B58CF" w:rsidRPr="008B446E" w:rsidRDefault="009B58CF" w:rsidP="008B446E">
            <w:pPr>
              <w:spacing w:after="0" w:line="240" w:lineRule="auto"/>
              <w:jc w:val="center"/>
              <w:rPr>
                <w:rFonts w:ascii="Calibri" w:hAnsi="Calibri"/>
                <w:color w:val="000000"/>
              </w:rPr>
            </w:pPr>
            <w:r w:rsidRPr="008B446E">
              <w:rPr>
                <w:rFonts w:ascii="Calibri" w:hAnsi="Calibri"/>
                <w:color w:val="000000"/>
              </w:rPr>
              <w:t>6</w:t>
            </w:r>
            <w:r w:rsidR="006051CC">
              <w:rPr>
                <w:rFonts w:ascii="Calibri" w:hAnsi="Calibri"/>
                <w:color w:val="000000"/>
              </w:rPr>
              <w:t>%</w:t>
            </w:r>
          </w:p>
        </w:tc>
      </w:tr>
      <w:tr w:rsidR="00B92C33" w:rsidRPr="00120306" w14:paraId="2411547F" w14:textId="77777777" w:rsidTr="009B58CF">
        <w:trPr>
          <w:trHeight w:val="300"/>
        </w:trPr>
        <w:tc>
          <w:tcPr>
            <w:tcW w:w="4268" w:type="dxa"/>
            <w:shd w:val="clear" w:color="auto" w:fill="auto"/>
            <w:noWrap/>
            <w:vAlign w:val="bottom"/>
          </w:tcPr>
          <w:p w14:paraId="1F9B5EF2" w14:textId="77777777" w:rsidR="00B92C33" w:rsidRPr="008B446E" w:rsidRDefault="00B92C33" w:rsidP="004617AD">
            <w:pPr>
              <w:spacing w:after="0" w:line="240" w:lineRule="auto"/>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Total</w:t>
            </w:r>
          </w:p>
        </w:tc>
        <w:tc>
          <w:tcPr>
            <w:tcW w:w="1074" w:type="dxa"/>
            <w:vAlign w:val="bottom"/>
          </w:tcPr>
          <w:p w14:paraId="26961D04" w14:textId="705CEE99" w:rsidR="00B92C33" w:rsidRPr="008B446E" w:rsidRDefault="00B92C33" w:rsidP="008B446E">
            <w:pPr>
              <w:spacing w:after="0" w:line="240" w:lineRule="auto"/>
              <w:jc w:val="center"/>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100</w:t>
            </w:r>
            <w:r w:rsidR="006051CC">
              <w:rPr>
                <w:rFonts w:ascii="Calibri" w:hAnsi="Calibri"/>
                <w:color w:val="000000"/>
              </w:rPr>
              <w:t>%</w:t>
            </w:r>
          </w:p>
        </w:tc>
        <w:tc>
          <w:tcPr>
            <w:tcW w:w="1024" w:type="dxa"/>
          </w:tcPr>
          <w:p w14:paraId="67E3F7A5" w14:textId="5865FD28" w:rsidR="00B92C33" w:rsidRPr="008B446E" w:rsidRDefault="00B92C33" w:rsidP="008B446E">
            <w:pPr>
              <w:spacing w:after="0" w:line="240" w:lineRule="auto"/>
              <w:jc w:val="center"/>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100</w:t>
            </w:r>
            <w:r w:rsidR="006051CC">
              <w:rPr>
                <w:rFonts w:ascii="Calibri" w:hAnsi="Calibri"/>
                <w:color w:val="000000"/>
              </w:rPr>
              <w:t>%</w:t>
            </w:r>
          </w:p>
        </w:tc>
        <w:tc>
          <w:tcPr>
            <w:tcW w:w="682" w:type="dxa"/>
          </w:tcPr>
          <w:p w14:paraId="2FA062F0" w14:textId="612ED661" w:rsidR="00B92C33" w:rsidRPr="008B446E" w:rsidRDefault="00B92C33" w:rsidP="008B446E">
            <w:pPr>
              <w:spacing w:after="0" w:line="240" w:lineRule="auto"/>
              <w:jc w:val="center"/>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100</w:t>
            </w:r>
            <w:r w:rsidR="006051CC">
              <w:rPr>
                <w:rFonts w:ascii="Calibri" w:hAnsi="Calibri"/>
                <w:color w:val="000000"/>
              </w:rPr>
              <w:t>%</w:t>
            </w:r>
          </w:p>
        </w:tc>
        <w:tc>
          <w:tcPr>
            <w:tcW w:w="687" w:type="dxa"/>
          </w:tcPr>
          <w:p w14:paraId="37005D8A" w14:textId="2F80F969" w:rsidR="00B92C33" w:rsidRPr="008B446E" w:rsidRDefault="00B92C33" w:rsidP="008B446E">
            <w:pPr>
              <w:spacing w:after="0" w:line="240" w:lineRule="auto"/>
              <w:jc w:val="center"/>
              <w:rPr>
                <w:rFonts w:ascii="Calibri" w:eastAsia="Times New Roman" w:hAnsi="Calibri" w:cs="Times New Roman"/>
                <w:color w:val="000000"/>
                <w:lang w:eastAsia="en-GB"/>
              </w:rPr>
            </w:pPr>
            <w:r w:rsidRPr="008B446E">
              <w:rPr>
                <w:rFonts w:ascii="Calibri" w:eastAsia="Times New Roman" w:hAnsi="Calibri" w:cs="Times New Roman"/>
                <w:color w:val="000000"/>
                <w:lang w:eastAsia="en-GB"/>
              </w:rPr>
              <w:t>100</w:t>
            </w:r>
            <w:r w:rsidR="006051CC">
              <w:rPr>
                <w:rFonts w:ascii="Calibri" w:hAnsi="Calibri"/>
                <w:color w:val="000000"/>
              </w:rPr>
              <w:t>%</w:t>
            </w:r>
          </w:p>
        </w:tc>
      </w:tr>
    </w:tbl>
    <w:p w14:paraId="47E34C0D" w14:textId="77777777" w:rsidR="00594029" w:rsidRPr="00B92C33" w:rsidRDefault="00594029" w:rsidP="00594029">
      <w:pPr>
        <w:spacing w:after="0" w:line="240" w:lineRule="auto"/>
        <w:rPr>
          <w:sz w:val="18"/>
          <w:szCs w:val="18"/>
        </w:rPr>
      </w:pPr>
      <w:r w:rsidRPr="00B92C33">
        <w:rPr>
          <w:sz w:val="18"/>
          <w:szCs w:val="18"/>
        </w:rPr>
        <w:t>Notes: based on analysis of the LFS 2015: Q1-Q4. Percentages are rounded. Includes both full-time and part-time employees.</w:t>
      </w:r>
    </w:p>
    <w:p w14:paraId="75E9663C" w14:textId="77777777" w:rsidR="00594029" w:rsidRDefault="00594029" w:rsidP="00150A84">
      <w:pPr>
        <w:spacing w:after="0" w:line="240" w:lineRule="auto"/>
        <w:rPr>
          <w:b/>
        </w:rPr>
      </w:pPr>
    </w:p>
    <w:p w14:paraId="160411FF" w14:textId="495EF3E7" w:rsidR="00BC157C" w:rsidRDefault="00DC2669" w:rsidP="00594029">
      <w:pPr>
        <w:spacing w:after="0" w:line="240" w:lineRule="auto"/>
      </w:pPr>
      <w:r>
        <w:rPr>
          <w:rFonts w:cs="Arial"/>
          <w:color w:val="000000"/>
        </w:rPr>
        <w:t xml:space="preserve">Overall, </w:t>
      </w:r>
      <w:r w:rsidR="00B36DCA">
        <w:rPr>
          <w:rFonts w:cs="Arial"/>
          <w:color w:val="000000"/>
        </w:rPr>
        <w:t xml:space="preserve">therefore, </w:t>
      </w:r>
      <w:r>
        <w:rPr>
          <w:rFonts w:cs="Arial"/>
          <w:color w:val="000000"/>
        </w:rPr>
        <w:t>most EU</w:t>
      </w:r>
      <w:r w:rsidR="00B36DCA">
        <w:rPr>
          <w:rFonts w:cs="Arial"/>
          <w:color w:val="000000"/>
        </w:rPr>
        <w:t>-born</w:t>
      </w:r>
      <w:r>
        <w:rPr>
          <w:rFonts w:cs="Arial"/>
          <w:color w:val="000000"/>
        </w:rPr>
        <w:t xml:space="preserve"> workers—like most workers of all origins—are not in jobs that meet the criteria for Tier 2 visas. </w:t>
      </w:r>
      <w:r w:rsidR="00AE7FDB">
        <w:rPr>
          <w:rFonts w:cs="Arial"/>
          <w:color w:val="000000"/>
        </w:rPr>
        <w:t xml:space="preserve">Because EU workers are underrepresented in high-paying graduate </w:t>
      </w:r>
      <w:r w:rsidR="00AE7FDB">
        <w:rPr>
          <w:rFonts w:cs="Arial"/>
          <w:color w:val="000000"/>
        </w:rPr>
        <w:lastRenderedPageBreak/>
        <w:t xml:space="preserve">jobs, a lower </w:t>
      </w:r>
      <w:r w:rsidR="00AE7FDB" w:rsidRPr="008B446E">
        <w:rPr>
          <w:rFonts w:cs="Arial"/>
          <w:color w:val="000000"/>
        </w:rPr>
        <w:t xml:space="preserve">share of </w:t>
      </w:r>
      <w:r w:rsidR="0013721C" w:rsidRPr="008B446E">
        <w:rPr>
          <w:rFonts w:cs="Arial"/>
          <w:color w:val="000000"/>
        </w:rPr>
        <w:t xml:space="preserve">those who are already living in the UK are working in jobs that meet the occupation and salary </w:t>
      </w:r>
      <w:r w:rsidR="00AE7FDB" w:rsidRPr="008B446E">
        <w:rPr>
          <w:rFonts w:cs="Arial"/>
          <w:color w:val="000000"/>
        </w:rPr>
        <w:t>thresholds described in this report</w:t>
      </w:r>
      <w:r w:rsidR="0013721C" w:rsidRPr="008B446E">
        <w:rPr>
          <w:rFonts w:cs="Arial"/>
          <w:color w:val="000000"/>
        </w:rPr>
        <w:t>,</w:t>
      </w:r>
      <w:r w:rsidR="00AE7FDB" w:rsidRPr="008B446E">
        <w:rPr>
          <w:rFonts w:cs="Arial"/>
          <w:color w:val="000000"/>
        </w:rPr>
        <w:t xml:space="preserve"> compared to the average across the UK labour market. </w:t>
      </w:r>
      <w:r w:rsidRPr="008B446E">
        <w:rPr>
          <w:rFonts w:cs="Arial"/>
          <w:color w:val="000000"/>
        </w:rPr>
        <w:t xml:space="preserve">In 2015, </w:t>
      </w:r>
      <w:r w:rsidR="009538F1" w:rsidRPr="008B446E">
        <w:rPr>
          <w:rFonts w:cs="Arial"/>
          <w:color w:val="000000"/>
        </w:rPr>
        <w:t>19</w:t>
      </w:r>
      <w:r w:rsidRPr="008B446E">
        <w:rPr>
          <w:rFonts w:cs="Arial"/>
          <w:color w:val="000000"/>
        </w:rPr>
        <w:t xml:space="preserve">% of people born in EU countries </w:t>
      </w:r>
      <w:r w:rsidR="000B4A23">
        <w:rPr>
          <w:rFonts w:cs="Arial"/>
          <w:color w:val="000000"/>
        </w:rPr>
        <w:t xml:space="preserve">and working employees in the UK </w:t>
      </w:r>
      <w:r w:rsidRPr="008B446E">
        <w:rPr>
          <w:rFonts w:cs="Arial"/>
          <w:color w:val="000000"/>
        </w:rPr>
        <w:t xml:space="preserve">were in a skilled job earning more than £20,000. </w:t>
      </w:r>
      <w:r w:rsidR="00BC157C" w:rsidRPr="008B446E">
        <w:rPr>
          <w:rFonts w:cs="Arial"/>
          <w:color w:val="000000"/>
        </w:rPr>
        <w:t xml:space="preserve">Many of </w:t>
      </w:r>
      <w:r w:rsidRPr="008B446E">
        <w:rPr>
          <w:rFonts w:cs="Arial"/>
          <w:color w:val="000000"/>
        </w:rPr>
        <w:t xml:space="preserve">these </w:t>
      </w:r>
      <w:r w:rsidR="000F37F4" w:rsidRPr="008B446E">
        <w:rPr>
          <w:rFonts w:cs="Arial"/>
          <w:color w:val="000000"/>
        </w:rPr>
        <w:t>people</w:t>
      </w:r>
      <w:r w:rsidRPr="008B446E">
        <w:rPr>
          <w:rFonts w:cs="Arial"/>
          <w:color w:val="000000"/>
        </w:rPr>
        <w:t xml:space="preserve"> </w:t>
      </w:r>
      <w:r w:rsidR="000F37F4" w:rsidRPr="008B446E">
        <w:rPr>
          <w:rFonts w:cs="Arial"/>
          <w:color w:val="000000"/>
        </w:rPr>
        <w:t xml:space="preserve">had </w:t>
      </w:r>
      <w:r w:rsidRPr="008B446E">
        <w:rPr>
          <w:rFonts w:cs="Arial"/>
          <w:color w:val="000000"/>
        </w:rPr>
        <w:t xml:space="preserve">been </w:t>
      </w:r>
      <w:r w:rsidR="00BC157C" w:rsidRPr="008B446E">
        <w:rPr>
          <w:rFonts w:cs="Arial"/>
          <w:color w:val="000000"/>
        </w:rPr>
        <w:t xml:space="preserve">living in the UK for several years and thus may have different skills and experience compared to people who are newly arriving. They have also had longer to enter skilled employment. </w:t>
      </w:r>
      <w:r w:rsidRPr="008B446E">
        <w:rPr>
          <w:rFonts w:cs="Arial"/>
          <w:color w:val="000000"/>
        </w:rPr>
        <w:t xml:space="preserve">The share of newly arriving </w:t>
      </w:r>
      <w:r w:rsidR="00BC157C" w:rsidRPr="008B446E">
        <w:rPr>
          <w:rFonts w:cs="Arial"/>
          <w:color w:val="000000"/>
        </w:rPr>
        <w:t xml:space="preserve">EU </w:t>
      </w:r>
      <w:r w:rsidRPr="008B446E">
        <w:rPr>
          <w:rFonts w:cs="Arial"/>
          <w:color w:val="000000"/>
        </w:rPr>
        <w:t xml:space="preserve">born workers </w:t>
      </w:r>
      <w:r w:rsidR="00BC157C" w:rsidRPr="008B446E">
        <w:rPr>
          <w:rFonts w:cs="Arial"/>
          <w:color w:val="000000"/>
        </w:rPr>
        <w:t xml:space="preserve">who had arrived in the UK in 2010 or afterwards </w:t>
      </w:r>
      <w:r w:rsidRPr="008B446E">
        <w:rPr>
          <w:rFonts w:cs="Arial"/>
          <w:color w:val="000000"/>
        </w:rPr>
        <w:t xml:space="preserve">and who were </w:t>
      </w:r>
      <w:r w:rsidRPr="008B446E">
        <w:t xml:space="preserve">in graduate jobs earning </w:t>
      </w:r>
      <w:r w:rsidR="00BC157C" w:rsidRPr="008B446E">
        <w:t xml:space="preserve">£20,000 </w:t>
      </w:r>
      <w:r w:rsidRPr="008B446E">
        <w:t>or more</w:t>
      </w:r>
      <w:r>
        <w:t xml:space="preserve"> was lower, at </w:t>
      </w:r>
      <w:r w:rsidR="009538F1">
        <w:t>12</w:t>
      </w:r>
      <w:r>
        <w:t>%</w:t>
      </w:r>
      <w:r w:rsidR="00BC157C">
        <w:t xml:space="preserve">. </w:t>
      </w:r>
    </w:p>
    <w:p w14:paraId="35332367" w14:textId="77777777" w:rsidR="00BC157C" w:rsidRDefault="00BC157C" w:rsidP="00594029">
      <w:pPr>
        <w:spacing w:after="0" w:line="240" w:lineRule="auto"/>
      </w:pPr>
    </w:p>
    <w:p w14:paraId="443A714A" w14:textId="3A628B7A" w:rsidR="00687CDA" w:rsidRDefault="006065B1" w:rsidP="00687CDA">
      <w:pPr>
        <w:spacing w:after="0" w:line="240" w:lineRule="auto"/>
        <w:jc w:val="both"/>
      </w:pPr>
      <w:r>
        <w:t xml:space="preserve">The implications of the data for the impacts of admission requirements on regions are less clear cut. The largest number of EU born live in London, where workers tend to earn more and thus are more likely to meet any pay-based threshold; that said, a majority of EU migrants live outside of London and the South East </w:t>
      </w:r>
      <w:r w:rsidR="00687CDA">
        <w:t>(</w:t>
      </w:r>
      <w:r w:rsidR="003F582F">
        <w:t>Table 4</w:t>
      </w:r>
      <w:r w:rsidR="00687CDA">
        <w:t xml:space="preserve">). </w:t>
      </w:r>
    </w:p>
    <w:p w14:paraId="111901B2" w14:textId="77777777" w:rsidR="00687CDA" w:rsidRDefault="00687CDA" w:rsidP="00687CDA">
      <w:pPr>
        <w:spacing w:after="0" w:line="240" w:lineRule="auto"/>
        <w:rPr>
          <w:b/>
        </w:rPr>
      </w:pPr>
    </w:p>
    <w:p w14:paraId="0762CD07" w14:textId="4BBAECF4" w:rsidR="00687CDA" w:rsidRDefault="003F582F" w:rsidP="00687CDA">
      <w:pPr>
        <w:spacing w:after="0" w:line="240" w:lineRule="auto"/>
        <w:jc w:val="both"/>
        <w:rPr>
          <w:b/>
        </w:rPr>
      </w:pPr>
      <w:r>
        <w:rPr>
          <w:b/>
        </w:rPr>
        <w:t>Table 4</w:t>
      </w:r>
      <w:r w:rsidR="00687CDA" w:rsidRPr="00FC7783">
        <w:rPr>
          <w:b/>
        </w:rPr>
        <w:t xml:space="preserve"> – Distribution of </w:t>
      </w:r>
      <w:r w:rsidR="00687CDA">
        <w:rPr>
          <w:b/>
        </w:rPr>
        <w:t>population</w:t>
      </w:r>
      <w:r w:rsidR="00687CDA" w:rsidRPr="00FC7783">
        <w:rPr>
          <w:b/>
        </w:rPr>
        <w:t xml:space="preserve"> across regions of the UK</w:t>
      </w:r>
      <w:r w:rsidR="00687CDA">
        <w:rPr>
          <w:b/>
        </w:rPr>
        <w:t>, by place of birth, 2015</w:t>
      </w:r>
    </w:p>
    <w:tbl>
      <w:tblPr>
        <w:tblStyle w:val="TableGrid"/>
        <w:tblW w:w="0" w:type="auto"/>
        <w:tblLook w:val="04A0" w:firstRow="1" w:lastRow="0" w:firstColumn="1" w:lastColumn="0" w:noHBand="0" w:noVBand="1"/>
      </w:tblPr>
      <w:tblGrid>
        <w:gridCol w:w="2310"/>
        <w:gridCol w:w="1200"/>
        <w:gridCol w:w="1276"/>
        <w:gridCol w:w="1276"/>
      </w:tblGrid>
      <w:tr w:rsidR="00687CDA" w14:paraId="4C195163" w14:textId="77777777" w:rsidTr="00AD7A24">
        <w:tc>
          <w:tcPr>
            <w:tcW w:w="2310" w:type="dxa"/>
          </w:tcPr>
          <w:p w14:paraId="74604454" w14:textId="77777777" w:rsidR="00687CDA" w:rsidRDefault="00687CDA" w:rsidP="00AD7A24">
            <w:pPr>
              <w:jc w:val="both"/>
            </w:pPr>
          </w:p>
        </w:tc>
        <w:tc>
          <w:tcPr>
            <w:tcW w:w="1200" w:type="dxa"/>
            <w:vAlign w:val="bottom"/>
          </w:tcPr>
          <w:p w14:paraId="2C2A52F6" w14:textId="77777777" w:rsidR="00687CDA" w:rsidRDefault="00687CDA" w:rsidP="00AD7A24">
            <w:pPr>
              <w:jc w:val="center"/>
            </w:pPr>
            <w:r>
              <w:rPr>
                <w:rFonts w:ascii="Calibri" w:hAnsi="Calibri"/>
                <w:b/>
                <w:bCs/>
                <w:color w:val="000000"/>
              </w:rPr>
              <w:t>EU</w:t>
            </w:r>
          </w:p>
        </w:tc>
        <w:tc>
          <w:tcPr>
            <w:tcW w:w="1276" w:type="dxa"/>
            <w:vAlign w:val="bottom"/>
          </w:tcPr>
          <w:p w14:paraId="6EBD785D" w14:textId="77777777" w:rsidR="00687CDA" w:rsidRDefault="00687CDA" w:rsidP="00AD7A24">
            <w:pPr>
              <w:jc w:val="center"/>
            </w:pPr>
            <w:r>
              <w:rPr>
                <w:rFonts w:ascii="Calibri" w:hAnsi="Calibri"/>
                <w:b/>
                <w:bCs/>
                <w:color w:val="000000"/>
              </w:rPr>
              <w:t>Non-EU</w:t>
            </w:r>
          </w:p>
        </w:tc>
        <w:tc>
          <w:tcPr>
            <w:tcW w:w="1276" w:type="dxa"/>
            <w:vAlign w:val="bottom"/>
          </w:tcPr>
          <w:p w14:paraId="75BF6F2F" w14:textId="77777777" w:rsidR="00687CDA" w:rsidRDefault="00687CDA" w:rsidP="00AD7A24">
            <w:pPr>
              <w:jc w:val="center"/>
            </w:pPr>
            <w:r>
              <w:rPr>
                <w:rFonts w:ascii="Calibri" w:hAnsi="Calibri"/>
                <w:b/>
                <w:bCs/>
                <w:color w:val="000000"/>
              </w:rPr>
              <w:t>All</w:t>
            </w:r>
          </w:p>
        </w:tc>
      </w:tr>
      <w:tr w:rsidR="00687CDA" w14:paraId="72B4BC7E" w14:textId="77777777" w:rsidTr="00AD7A24">
        <w:tc>
          <w:tcPr>
            <w:tcW w:w="2310" w:type="dxa"/>
            <w:vAlign w:val="bottom"/>
          </w:tcPr>
          <w:p w14:paraId="025431CA" w14:textId="77777777" w:rsidR="00687CDA" w:rsidRDefault="00687CDA" w:rsidP="00AD7A24">
            <w:pPr>
              <w:jc w:val="both"/>
            </w:pPr>
            <w:r>
              <w:rPr>
                <w:rFonts w:ascii="Calibri" w:hAnsi="Calibri"/>
                <w:color w:val="000000"/>
              </w:rPr>
              <w:t>London</w:t>
            </w:r>
          </w:p>
        </w:tc>
        <w:tc>
          <w:tcPr>
            <w:tcW w:w="1200" w:type="dxa"/>
            <w:vAlign w:val="bottom"/>
          </w:tcPr>
          <w:p w14:paraId="7306B84B" w14:textId="224645F7" w:rsidR="00687CDA" w:rsidRDefault="00687CDA" w:rsidP="00AD7A24">
            <w:pPr>
              <w:jc w:val="center"/>
            </w:pPr>
            <w:r>
              <w:rPr>
                <w:rFonts w:ascii="Calibri" w:hAnsi="Calibri"/>
                <w:color w:val="000000"/>
              </w:rPr>
              <w:t>30</w:t>
            </w:r>
            <w:r w:rsidR="000D4894">
              <w:rPr>
                <w:rFonts w:ascii="Calibri" w:hAnsi="Calibri"/>
                <w:color w:val="000000"/>
              </w:rPr>
              <w:t>%</w:t>
            </w:r>
          </w:p>
        </w:tc>
        <w:tc>
          <w:tcPr>
            <w:tcW w:w="1276" w:type="dxa"/>
            <w:vAlign w:val="bottom"/>
          </w:tcPr>
          <w:p w14:paraId="63D91201" w14:textId="652E19F6" w:rsidR="00687CDA" w:rsidRDefault="00687CDA" w:rsidP="00AD7A24">
            <w:pPr>
              <w:jc w:val="center"/>
            </w:pPr>
            <w:r>
              <w:rPr>
                <w:rFonts w:ascii="Calibri" w:hAnsi="Calibri"/>
                <w:color w:val="000000"/>
              </w:rPr>
              <w:t>41</w:t>
            </w:r>
            <w:r w:rsidR="000D4894">
              <w:rPr>
                <w:rFonts w:ascii="Calibri" w:hAnsi="Calibri"/>
                <w:color w:val="000000"/>
              </w:rPr>
              <w:t>%</w:t>
            </w:r>
          </w:p>
        </w:tc>
        <w:tc>
          <w:tcPr>
            <w:tcW w:w="1276" w:type="dxa"/>
            <w:vAlign w:val="bottom"/>
          </w:tcPr>
          <w:p w14:paraId="19948B67" w14:textId="63D2770C" w:rsidR="00687CDA" w:rsidRDefault="00687CDA" w:rsidP="00AD7A24">
            <w:pPr>
              <w:jc w:val="center"/>
            </w:pPr>
            <w:r>
              <w:rPr>
                <w:rFonts w:ascii="Calibri" w:hAnsi="Calibri"/>
                <w:color w:val="000000"/>
              </w:rPr>
              <w:t>13</w:t>
            </w:r>
            <w:r w:rsidR="000D4894">
              <w:rPr>
                <w:rFonts w:ascii="Calibri" w:hAnsi="Calibri"/>
                <w:color w:val="000000"/>
              </w:rPr>
              <w:t>%</w:t>
            </w:r>
          </w:p>
        </w:tc>
      </w:tr>
      <w:tr w:rsidR="00687CDA" w14:paraId="4D3B1A12" w14:textId="77777777" w:rsidTr="00AD7A24">
        <w:tc>
          <w:tcPr>
            <w:tcW w:w="2310" w:type="dxa"/>
            <w:vAlign w:val="bottom"/>
          </w:tcPr>
          <w:p w14:paraId="1AB011F5" w14:textId="77777777" w:rsidR="00687CDA" w:rsidRDefault="00687CDA" w:rsidP="00AD7A24">
            <w:pPr>
              <w:jc w:val="both"/>
            </w:pPr>
            <w:r>
              <w:rPr>
                <w:rFonts w:ascii="Calibri" w:hAnsi="Calibri"/>
                <w:color w:val="000000"/>
              </w:rPr>
              <w:t>South East</w:t>
            </w:r>
          </w:p>
        </w:tc>
        <w:tc>
          <w:tcPr>
            <w:tcW w:w="1200" w:type="dxa"/>
            <w:vAlign w:val="bottom"/>
          </w:tcPr>
          <w:p w14:paraId="6FAD91EF" w14:textId="7CF6D085" w:rsidR="00687CDA" w:rsidRDefault="00687CDA" w:rsidP="00AD7A24">
            <w:pPr>
              <w:jc w:val="center"/>
            </w:pPr>
            <w:r>
              <w:rPr>
                <w:rFonts w:ascii="Calibri" w:hAnsi="Calibri"/>
                <w:color w:val="000000"/>
              </w:rPr>
              <w:t>13</w:t>
            </w:r>
            <w:r w:rsidR="000D4894">
              <w:rPr>
                <w:rFonts w:ascii="Calibri" w:hAnsi="Calibri"/>
                <w:color w:val="000000"/>
              </w:rPr>
              <w:t>%</w:t>
            </w:r>
          </w:p>
        </w:tc>
        <w:tc>
          <w:tcPr>
            <w:tcW w:w="1276" w:type="dxa"/>
            <w:vAlign w:val="bottom"/>
          </w:tcPr>
          <w:p w14:paraId="70C464EC" w14:textId="34A6DAE5" w:rsidR="00687CDA" w:rsidRDefault="00687CDA" w:rsidP="00AD7A24">
            <w:pPr>
              <w:jc w:val="center"/>
            </w:pPr>
            <w:r>
              <w:rPr>
                <w:rFonts w:ascii="Calibri" w:hAnsi="Calibri"/>
                <w:color w:val="000000"/>
              </w:rPr>
              <w:t>12</w:t>
            </w:r>
            <w:r w:rsidR="000D4894">
              <w:rPr>
                <w:rFonts w:ascii="Calibri" w:hAnsi="Calibri"/>
                <w:color w:val="000000"/>
              </w:rPr>
              <w:t>%</w:t>
            </w:r>
          </w:p>
        </w:tc>
        <w:tc>
          <w:tcPr>
            <w:tcW w:w="1276" w:type="dxa"/>
            <w:vAlign w:val="bottom"/>
          </w:tcPr>
          <w:p w14:paraId="3960AF8A" w14:textId="1C2DFAD4" w:rsidR="00687CDA" w:rsidRDefault="00687CDA" w:rsidP="00AD7A24">
            <w:pPr>
              <w:jc w:val="center"/>
            </w:pPr>
            <w:r>
              <w:rPr>
                <w:rFonts w:ascii="Calibri" w:hAnsi="Calibri"/>
                <w:color w:val="000000"/>
              </w:rPr>
              <w:t>14</w:t>
            </w:r>
            <w:r w:rsidR="000D4894">
              <w:rPr>
                <w:rFonts w:ascii="Calibri" w:hAnsi="Calibri"/>
                <w:color w:val="000000"/>
              </w:rPr>
              <w:t>%</w:t>
            </w:r>
          </w:p>
        </w:tc>
      </w:tr>
      <w:tr w:rsidR="00687CDA" w14:paraId="5C9EF068" w14:textId="77777777" w:rsidTr="00AD7A24">
        <w:tc>
          <w:tcPr>
            <w:tcW w:w="2310" w:type="dxa"/>
            <w:vAlign w:val="bottom"/>
          </w:tcPr>
          <w:p w14:paraId="6F6415AE" w14:textId="77777777" w:rsidR="00687CDA" w:rsidRDefault="00687CDA" w:rsidP="00AD7A24">
            <w:pPr>
              <w:jc w:val="both"/>
            </w:pPr>
            <w:r>
              <w:rPr>
                <w:rFonts w:ascii="Calibri" w:hAnsi="Calibri"/>
                <w:color w:val="000000"/>
              </w:rPr>
              <w:t>Eastern</w:t>
            </w:r>
          </w:p>
        </w:tc>
        <w:tc>
          <w:tcPr>
            <w:tcW w:w="1200" w:type="dxa"/>
            <w:vAlign w:val="bottom"/>
          </w:tcPr>
          <w:p w14:paraId="6DA098B0" w14:textId="23AA7C93" w:rsidR="00687CDA" w:rsidRDefault="00687CDA" w:rsidP="00AD7A24">
            <w:pPr>
              <w:jc w:val="center"/>
            </w:pPr>
            <w:r>
              <w:rPr>
                <w:rFonts w:ascii="Calibri" w:hAnsi="Calibri"/>
                <w:color w:val="000000"/>
              </w:rPr>
              <w:t>10</w:t>
            </w:r>
            <w:r w:rsidR="000D4894">
              <w:rPr>
                <w:rFonts w:ascii="Calibri" w:hAnsi="Calibri"/>
                <w:color w:val="000000"/>
              </w:rPr>
              <w:t>%</w:t>
            </w:r>
          </w:p>
        </w:tc>
        <w:tc>
          <w:tcPr>
            <w:tcW w:w="1276" w:type="dxa"/>
            <w:vAlign w:val="bottom"/>
          </w:tcPr>
          <w:p w14:paraId="450E881B" w14:textId="00284595" w:rsidR="00687CDA" w:rsidRDefault="00687CDA" w:rsidP="00AD7A24">
            <w:pPr>
              <w:jc w:val="center"/>
            </w:pPr>
            <w:r>
              <w:rPr>
                <w:rFonts w:ascii="Calibri" w:hAnsi="Calibri"/>
                <w:color w:val="000000"/>
              </w:rPr>
              <w:t>8</w:t>
            </w:r>
            <w:r w:rsidR="000D4894">
              <w:rPr>
                <w:rFonts w:ascii="Calibri" w:hAnsi="Calibri"/>
                <w:color w:val="000000"/>
              </w:rPr>
              <w:t>%</w:t>
            </w:r>
          </w:p>
        </w:tc>
        <w:tc>
          <w:tcPr>
            <w:tcW w:w="1276" w:type="dxa"/>
            <w:vAlign w:val="bottom"/>
          </w:tcPr>
          <w:p w14:paraId="59884A80" w14:textId="2AFC46F9" w:rsidR="00687CDA" w:rsidRDefault="00687CDA" w:rsidP="00AD7A24">
            <w:pPr>
              <w:jc w:val="center"/>
            </w:pPr>
            <w:r>
              <w:rPr>
                <w:rFonts w:ascii="Calibri" w:hAnsi="Calibri"/>
                <w:color w:val="000000"/>
              </w:rPr>
              <w:t>9</w:t>
            </w:r>
            <w:r w:rsidR="000D4894">
              <w:rPr>
                <w:rFonts w:ascii="Calibri" w:hAnsi="Calibri"/>
                <w:color w:val="000000"/>
              </w:rPr>
              <w:t>%</w:t>
            </w:r>
          </w:p>
        </w:tc>
      </w:tr>
      <w:tr w:rsidR="00687CDA" w14:paraId="170FF6F9" w14:textId="77777777" w:rsidTr="00AD7A24">
        <w:tc>
          <w:tcPr>
            <w:tcW w:w="2310" w:type="dxa"/>
            <w:vAlign w:val="bottom"/>
          </w:tcPr>
          <w:p w14:paraId="5879B2CD" w14:textId="77777777" w:rsidR="00687CDA" w:rsidRDefault="00687CDA" w:rsidP="00AD7A24">
            <w:pPr>
              <w:jc w:val="both"/>
            </w:pPr>
            <w:r>
              <w:rPr>
                <w:rFonts w:ascii="Calibri" w:hAnsi="Calibri"/>
                <w:color w:val="000000"/>
              </w:rPr>
              <w:t>North West</w:t>
            </w:r>
          </w:p>
        </w:tc>
        <w:tc>
          <w:tcPr>
            <w:tcW w:w="1200" w:type="dxa"/>
            <w:vAlign w:val="bottom"/>
          </w:tcPr>
          <w:p w14:paraId="4FCD4753" w14:textId="5E79C96D" w:rsidR="00687CDA" w:rsidRDefault="00687CDA" w:rsidP="00AD7A24">
            <w:pPr>
              <w:jc w:val="center"/>
            </w:pPr>
            <w:r>
              <w:rPr>
                <w:rFonts w:ascii="Calibri" w:hAnsi="Calibri"/>
                <w:color w:val="000000"/>
              </w:rPr>
              <w:t>8</w:t>
            </w:r>
            <w:r w:rsidR="000D4894">
              <w:rPr>
                <w:rFonts w:ascii="Calibri" w:hAnsi="Calibri"/>
                <w:color w:val="000000"/>
              </w:rPr>
              <w:t>%</w:t>
            </w:r>
          </w:p>
        </w:tc>
        <w:tc>
          <w:tcPr>
            <w:tcW w:w="1276" w:type="dxa"/>
            <w:vAlign w:val="bottom"/>
          </w:tcPr>
          <w:p w14:paraId="113627BA" w14:textId="2402160F" w:rsidR="00687CDA" w:rsidRDefault="00687CDA" w:rsidP="00AD7A24">
            <w:pPr>
              <w:jc w:val="center"/>
            </w:pPr>
            <w:r>
              <w:rPr>
                <w:rFonts w:ascii="Calibri" w:hAnsi="Calibri"/>
                <w:color w:val="000000"/>
              </w:rPr>
              <w:t>8</w:t>
            </w:r>
            <w:r w:rsidR="000D4894">
              <w:rPr>
                <w:rFonts w:ascii="Calibri" w:hAnsi="Calibri"/>
                <w:color w:val="000000"/>
              </w:rPr>
              <w:t>%</w:t>
            </w:r>
          </w:p>
        </w:tc>
        <w:tc>
          <w:tcPr>
            <w:tcW w:w="1276" w:type="dxa"/>
            <w:vAlign w:val="bottom"/>
          </w:tcPr>
          <w:p w14:paraId="659EC59D" w14:textId="2B3B7B86" w:rsidR="00687CDA" w:rsidRDefault="00687CDA" w:rsidP="00AD7A24">
            <w:pPr>
              <w:jc w:val="center"/>
            </w:pPr>
            <w:r>
              <w:rPr>
                <w:rFonts w:ascii="Calibri" w:hAnsi="Calibri"/>
                <w:color w:val="000000"/>
              </w:rPr>
              <w:t>11</w:t>
            </w:r>
            <w:r w:rsidR="000D4894">
              <w:rPr>
                <w:rFonts w:ascii="Calibri" w:hAnsi="Calibri"/>
                <w:color w:val="000000"/>
              </w:rPr>
              <w:t>%</w:t>
            </w:r>
          </w:p>
        </w:tc>
      </w:tr>
      <w:tr w:rsidR="00687CDA" w14:paraId="6E292717" w14:textId="77777777" w:rsidTr="00AD7A24">
        <w:tc>
          <w:tcPr>
            <w:tcW w:w="2310" w:type="dxa"/>
            <w:vAlign w:val="bottom"/>
          </w:tcPr>
          <w:p w14:paraId="5A826740" w14:textId="77777777" w:rsidR="00687CDA" w:rsidRDefault="00687CDA" w:rsidP="00AD7A24">
            <w:pPr>
              <w:jc w:val="both"/>
            </w:pPr>
            <w:r>
              <w:rPr>
                <w:rFonts w:ascii="Calibri" w:hAnsi="Calibri"/>
                <w:color w:val="000000"/>
              </w:rPr>
              <w:t>West Midlands</w:t>
            </w:r>
          </w:p>
        </w:tc>
        <w:tc>
          <w:tcPr>
            <w:tcW w:w="1200" w:type="dxa"/>
            <w:vAlign w:val="bottom"/>
          </w:tcPr>
          <w:p w14:paraId="57BFF650" w14:textId="01313304" w:rsidR="00687CDA" w:rsidRDefault="00687CDA" w:rsidP="00AD7A24">
            <w:pPr>
              <w:jc w:val="center"/>
            </w:pPr>
            <w:r>
              <w:rPr>
                <w:rFonts w:ascii="Calibri" w:hAnsi="Calibri"/>
                <w:color w:val="000000"/>
              </w:rPr>
              <w:t>7</w:t>
            </w:r>
            <w:r w:rsidR="000D4894">
              <w:rPr>
                <w:rFonts w:ascii="Calibri" w:hAnsi="Calibri"/>
                <w:color w:val="000000"/>
              </w:rPr>
              <w:t>%</w:t>
            </w:r>
          </w:p>
        </w:tc>
        <w:tc>
          <w:tcPr>
            <w:tcW w:w="1276" w:type="dxa"/>
            <w:vAlign w:val="bottom"/>
          </w:tcPr>
          <w:p w14:paraId="7A5942C3" w14:textId="7F150860" w:rsidR="00687CDA" w:rsidRDefault="00687CDA" w:rsidP="00AD7A24">
            <w:pPr>
              <w:jc w:val="center"/>
            </w:pPr>
            <w:r>
              <w:rPr>
                <w:rFonts w:ascii="Calibri" w:hAnsi="Calibri"/>
                <w:color w:val="000000"/>
              </w:rPr>
              <w:t>8</w:t>
            </w:r>
            <w:r w:rsidR="000D4894">
              <w:rPr>
                <w:rFonts w:ascii="Calibri" w:hAnsi="Calibri"/>
                <w:color w:val="000000"/>
              </w:rPr>
              <w:t>%</w:t>
            </w:r>
          </w:p>
        </w:tc>
        <w:tc>
          <w:tcPr>
            <w:tcW w:w="1276" w:type="dxa"/>
            <w:vAlign w:val="bottom"/>
          </w:tcPr>
          <w:p w14:paraId="4D631BAA" w14:textId="23FE9EF2" w:rsidR="00687CDA" w:rsidRDefault="00687CDA" w:rsidP="00AD7A24">
            <w:pPr>
              <w:jc w:val="center"/>
            </w:pPr>
            <w:r>
              <w:rPr>
                <w:rFonts w:ascii="Calibri" w:hAnsi="Calibri"/>
                <w:color w:val="000000"/>
              </w:rPr>
              <w:t>9</w:t>
            </w:r>
            <w:r w:rsidR="000D4894">
              <w:rPr>
                <w:rFonts w:ascii="Calibri" w:hAnsi="Calibri"/>
                <w:color w:val="000000"/>
              </w:rPr>
              <w:t>%</w:t>
            </w:r>
          </w:p>
        </w:tc>
      </w:tr>
      <w:tr w:rsidR="00687CDA" w14:paraId="6A67A770" w14:textId="77777777" w:rsidTr="00AD7A24">
        <w:tc>
          <w:tcPr>
            <w:tcW w:w="2310" w:type="dxa"/>
            <w:vAlign w:val="bottom"/>
          </w:tcPr>
          <w:p w14:paraId="3BCD917F" w14:textId="77777777" w:rsidR="00687CDA" w:rsidRDefault="00687CDA" w:rsidP="00AD7A24">
            <w:pPr>
              <w:jc w:val="both"/>
            </w:pPr>
            <w:r>
              <w:rPr>
                <w:rFonts w:ascii="Calibri" w:hAnsi="Calibri"/>
                <w:color w:val="000000"/>
              </w:rPr>
              <w:t>East Midlands</w:t>
            </w:r>
          </w:p>
        </w:tc>
        <w:tc>
          <w:tcPr>
            <w:tcW w:w="1200" w:type="dxa"/>
            <w:vAlign w:val="bottom"/>
          </w:tcPr>
          <w:p w14:paraId="58537D97" w14:textId="577EE0D1" w:rsidR="00687CDA" w:rsidRDefault="00687CDA" w:rsidP="00AD7A24">
            <w:pPr>
              <w:jc w:val="center"/>
            </w:pPr>
            <w:r>
              <w:rPr>
                <w:rFonts w:ascii="Calibri" w:hAnsi="Calibri"/>
                <w:color w:val="000000"/>
              </w:rPr>
              <w:t>7</w:t>
            </w:r>
            <w:r w:rsidR="000D4894">
              <w:rPr>
                <w:rFonts w:ascii="Calibri" w:hAnsi="Calibri"/>
                <w:color w:val="000000"/>
              </w:rPr>
              <w:t>%</w:t>
            </w:r>
          </w:p>
        </w:tc>
        <w:tc>
          <w:tcPr>
            <w:tcW w:w="1276" w:type="dxa"/>
            <w:vAlign w:val="bottom"/>
          </w:tcPr>
          <w:p w14:paraId="1605FC80" w14:textId="64EF4BAD" w:rsidR="00687CDA" w:rsidRDefault="00687CDA" w:rsidP="00AD7A24">
            <w:pPr>
              <w:jc w:val="center"/>
            </w:pPr>
            <w:r>
              <w:rPr>
                <w:rFonts w:ascii="Calibri" w:hAnsi="Calibri"/>
                <w:color w:val="000000"/>
              </w:rPr>
              <w:t>5</w:t>
            </w:r>
            <w:r w:rsidR="000D4894">
              <w:rPr>
                <w:rFonts w:ascii="Calibri" w:hAnsi="Calibri"/>
                <w:color w:val="000000"/>
              </w:rPr>
              <w:t>%</w:t>
            </w:r>
          </w:p>
        </w:tc>
        <w:tc>
          <w:tcPr>
            <w:tcW w:w="1276" w:type="dxa"/>
            <w:vAlign w:val="bottom"/>
          </w:tcPr>
          <w:p w14:paraId="7EB46A87" w14:textId="7A246687" w:rsidR="00687CDA" w:rsidRDefault="00687CDA" w:rsidP="00AD7A24">
            <w:pPr>
              <w:jc w:val="center"/>
            </w:pPr>
            <w:r>
              <w:rPr>
                <w:rFonts w:ascii="Calibri" w:hAnsi="Calibri"/>
                <w:color w:val="000000"/>
              </w:rPr>
              <w:t>7</w:t>
            </w:r>
            <w:r w:rsidR="000D4894">
              <w:rPr>
                <w:rFonts w:ascii="Calibri" w:hAnsi="Calibri"/>
                <w:color w:val="000000"/>
              </w:rPr>
              <w:t>%</w:t>
            </w:r>
          </w:p>
        </w:tc>
      </w:tr>
      <w:tr w:rsidR="00687CDA" w14:paraId="61F45E8E" w14:textId="77777777" w:rsidTr="00AD7A24">
        <w:tc>
          <w:tcPr>
            <w:tcW w:w="2310" w:type="dxa"/>
            <w:vAlign w:val="bottom"/>
          </w:tcPr>
          <w:p w14:paraId="258F7132" w14:textId="77777777" w:rsidR="00687CDA" w:rsidRDefault="00687CDA" w:rsidP="00AD7A24">
            <w:pPr>
              <w:jc w:val="both"/>
            </w:pPr>
            <w:r>
              <w:rPr>
                <w:rFonts w:ascii="Calibri" w:hAnsi="Calibri"/>
                <w:color w:val="000000"/>
              </w:rPr>
              <w:t>South West</w:t>
            </w:r>
          </w:p>
        </w:tc>
        <w:tc>
          <w:tcPr>
            <w:tcW w:w="1200" w:type="dxa"/>
            <w:vAlign w:val="bottom"/>
          </w:tcPr>
          <w:p w14:paraId="0AF64829" w14:textId="39838CE4" w:rsidR="00687CDA" w:rsidRDefault="00687CDA" w:rsidP="00AD7A24">
            <w:pPr>
              <w:jc w:val="center"/>
            </w:pPr>
            <w:r>
              <w:rPr>
                <w:rFonts w:ascii="Calibri" w:hAnsi="Calibri"/>
                <w:color w:val="000000"/>
              </w:rPr>
              <w:t>6</w:t>
            </w:r>
            <w:r w:rsidR="000D4894">
              <w:rPr>
                <w:rFonts w:ascii="Calibri" w:hAnsi="Calibri"/>
                <w:color w:val="000000"/>
              </w:rPr>
              <w:t>%</w:t>
            </w:r>
          </w:p>
        </w:tc>
        <w:tc>
          <w:tcPr>
            <w:tcW w:w="1276" w:type="dxa"/>
            <w:vAlign w:val="bottom"/>
          </w:tcPr>
          <w:p w14:paraId="253AFAD4" w14:textId="4B370EFA" w:rsidR="00687CDA" w:rsidRDefault="00687CDA" w:rsidP="00AD7A24">
            <w:pPr>
              <w:jc w:val="center"/>
            </w:pPr>
            <w:r>
              <w:rPr>
                <w:rFonts w:ascii="Calibri" w:hAnsi="Calibri"/>
                <w:color w:val="000000"/>
              </w:rPr>
              <w:t>5</w:t>
            </w:r>
            <w:r w:rsidR="000D4894">
              <w:rPr>
                <w:rFonts w:ascii="Calibri" w:hAnsi="Calibri"/>
                <w:color w:val="000000"/>
              </w:rPr>
              <w:t>%</w:t>
            </w:r>
          </w:p>
        </w:tc>
        <w:tc>
          <w:tcPr>
            <w:tcW w:w="1276" w:type="dxa"/>
            <w:vAlign w:val="bottom"/>
          </w:tcPr>
          <w:p w14:paraId="62B557C0" w14:textId="617E4738" w:rsidR="00687CDA" w:rsidRDefault="00687CDA" w:rsidP="00AD7A24">
            <w:pPr>
              <w:jc w:val="center"/>
            </w:pPr>
            <w:r>
              <w:rPr>
                <w:rFonts w:ascii="Calibri" w:hAnsi="Calibri"/>
                <w:color w:val="000000"/>
              </w:rPr>
              <w:t>8</w:t>
            </w:r>
            <w:r w:rsidR="000D4894">
              <w:rPr>
                <w:rFonts w:ascii="Calibri" w:hAnsi="Calibri"/>
                <w:color w:val="000000"/>
              </w:rPr>
              <w:t>%</w:t>
            </w:r>
          </w:p>
        </w:tc>
      </w:tr>
      <w:tr w:rsidR="00687CDA" w14:paraId="3F25D3A7" w14:textId="77777777" w:rsidTr="00AD7A24">
        <w:tc>
          <w:tcPr>
            <w:tcW w:w="2310" w:type="dxa"/>
            <w:vAlign w:val="bottom"/>
          </w:tcPr>
          <w:p w14:paraId="76DC4673" w14:textId="77777777" w:rsidR="00687CDA" w:rsidRDefault="00687CDA" w:rsidP="00AD7A24">
            <w:pPr>
              <w:jc w:val="both"/>
            </w:pPr>
            <w:r>
              <w:rPr>
                <w:rFonts w:ascii="Calibri" w:hAnsi="Calibri"/>
                <w:color w:val="000000"/>
              </w:rPr>
              <w:t>York</w:t>
            </w:r>
          </w:p>
        </w:tc>
        <w:tc>
          <w:tcPr>
            <w:tcW w:w="1200" w:type="dxa"/>
            <w:vAlign w:val="bottom"/>
          </w:tcPr>
          <w:p w14:paraId="7B8793F3" w14:textId="06C0D967" w:rsidR="00687CDA" w:rsidRDefault="00687CDA" w:rsidP="00AD7A24">
            <w:pPr>
              <w:jc w:val="center"/>
            </w:pPr>
            <w:r>
              <w:rPr>
                <w:rFonts w:ascii="Calibri" w:hAnsi="Calibri"/>
                <w:color w:val="000000"/>
              </w:rPr>
              <w:t>6</w:t>
            </w:r>
            <w:r w:rsidR="000D4894">
              <w:rPr>
                <w:rFonts w:ascii="Calibri" w:hAnsi="Calibri"/>
                <w:color w:val="000000"/>
              </w:rPr>
              <w:t>%</w:t>
            </w:r>
          </w:p>
        </w:tc>
        <w:tc>
          <w:tcPr>
            <w:tcW w:w="1276" w:type="dxa"/>
            <w:vAlign w:val="bottom"/>
          </w:tcPr>
          <w:p w14:paraId="1B43B9F4" w14:textId="1A467293" w:rsidR="00687CDA" w:rsidRDefault="00687CDA" w:rsidP="00AD7A24">
            <w:pPr>
              <w:jc w:val="center"/>
            </w:pPr>
            <w:r>
              <w:rPr>
                <w:rFonts w:ascii="Calibri" w:hAnsi="Calibri"/>
                <w:color w:val="000000"/>
              </w:rPr>
              <w:t>6</w:t>
            </w:r>
            <w:r w:rsidR="000D4894">
              <w:rPr>
                <w:rFonts w:ascii="Calibri" w:hAnsi="Calibri"/>
                <w:color w:val="000000"/>
              </w:rPr>
              <w:t>%</w:t>
            </w:r>
          </w:p>
        </w:tc>
        <w:tc>
          <w:tcPr>
            <w:tcW w:w="1276" w:type="dxa"/>
            <w:vAlign w:val="bottom"/>
          </w:tcPr>
          <w:p w14:paraId="1041960B" w14:textId="447F2B0D" w:rsidR="00687CDA" w:rsidRDefault="00687CDA" w:rsidP="00AD7A24">
            <w:pPr>
              <w:jc w:val="center"/>
            </w:pPr>
            <w:r>
              <w:rPr>
                <w:rFonts w:ascii="Calibri" w:hAnsi="Calibri"/>
                <w:color w:val="000000"/>
              </w:rPr>
              <w:t>8</w:t>
            </w:r>
            <w:r w:rsidR="000D4894">
              <w:rPr>
                <w:rFonts w:ascii="Calibri" w:hAnsi="Calibri"/>
                <w:color w:val="000000"/>
              </w:rPr>
              <w:t>%</w:t>
            </w:r>
          </w:p>
        </w:tc>
      </w:tr>
      <w:tr w:rsidR="00687CDA" w14:paraId="5E800ECC" w14:textId="77777777" w:rsidTr="00AD7A24">
        <w:tc>
          <w:tcPr>
            <w:tcW w:w="2310" w:type="dxa"/>
            <w:vAlign w:val="bottom"/>
          </w:tcPr>
          <w:p w14:paraId="2935753A" w14:textId="77777777" w:rsidR="00687CDA" w:rsidRDefault="00687CDA" w:rsidP="00AD7A24">
            <w:pPr>
              <w:jc w:val="both"/>
            </w:pPr>
            <w:r>
              <w:rPr>
                <w:rFonts w:ascii="Calibri" w:hAnsi="Calibri"/>
                <w:color w:val="000000"/>
              </w:rPr>
              <w:t>Scotland</w:t>
            </w:r>
          </w:p>
        </w:tc>
        <w:tc>
          <w:tcPr>
            <w:tcW w:w="1200" w:type="dxa"/>
            <w:vAlign w:val="bottom"/>
          </w:tcPr>
          <w:p w14:paraId="02DEF775" w14:textId="2F60FE57" w:rsidR="00687CDA" w:rsidRDefault="00687CDA" w:rsidP="00AD7A24">
            <w:pPr>
              <w:jc w:val="center"/>
            </w:pPr>
            <w:r>
              <w:rPr>
                <w:rFonts w:ascii="Calibri" w:hAnsi="Calibri"/>
                <w:color w:val="000000"/>
              </w:rPr>
              <w:t>6</w:t>
            </w:r>
            <w:r w:rsidR="000D4894">
              <w:rPr>
                <w:rFonts w:ascii="Calibri" w:hAnsi="Calibri"/>
                <w:color w:val="000000"/>
              </w:rPr>
              <w:t>%</w:t>
            </w:r>
          </w:p>
        </w:tc>
        <w:tc>
          <w:tcPr>
            <w:tcW w:w="1276" w:type="dxa"/>
            <w:vAlign w:val="bottom"/>
          </w:tcPr>
          <w:p w14:paraId="3EC7FE9F" w14:textId="1BA63E82" w:rsidR="00687CDA" w:rsidRDefault="00687CDA" w:rsidP="00AD7A24">
            <w:pPr>
              <w:jc w:val="center"/>
            </w:pPr>
            <w:r>
              <w:rPr>
                <w:rFonts w:ascii="Calibri" w:hAnsi="Calibri"/>
                <w:color w:val="000000"/>
              </w:rPr>
              <w:t>4</w:t>
            </w:r>
            <w:r w:rsidR="000D4894">
              <w:rPr>
                <w:rFonts w:ascii="Calibri" w:hAnsi="Calibri"/>
                <w:color w:val="000000"/>
              </w:rPr>
              <w:t>%</w:t>
            </w:r>
          </w:p>
        </w:tc>
        <w:tc>
          <w:tcPr>
            <w:tcW w:w="1276" w:type="dxa"/>
            <w:vAlign w:val="bottom"/>
          </w:tcPr>
          <w:p w14:paraId="197FFFAB" w14:textId="5DA3674A" w:rsidR="00687CDA" w:rsidRDefault="00687CDA" w:rsidP="00AD7A24">
            <w:pPr>
              <w:jc w:val="center"/>
            </w:pPr>
            <w:r>
              <w:rPr>
                <w:rFonts w:ascii="Calibri" w:hAnsi="Calibri"/>
                <w:color w:val="000000"/>
              </w:rPr>
              <w:t>8</w:t>
            </w:r>
            <w:r w:rsidR="000D4894">
              <w:rPr>
                <w:rFonts w:ascii="Calibri" w:hAnsi="Calibri"/>
                <w:color w:val="000000"/>
              </w:rPr>
              <w:t>%</w:t>
            </w:r>
          </w:p>
        </w:tc>
      </w:tr>
      <w:tr w:rsidR="00687CDA" w14:paraId="20F0076F" w14:textId="77777777" w:rsidTr="00AD7A24">
        <w:tc>
          <w:tcPr>
            <w:tcW w:w="2310" w:type="dxa"/>
            <w:vAlign w:val="bottom"/>
          </w:tcPr>
          <w:p w14:paraId="71C4937B" w14:textId="77777777" w:rsidR="00687CDA" w:rsidRDefault="00687CDA" w:rsidP="00AD7A24">
            <w:pPr>
              <w:jc w:val="both"/>
            </w:pPr>
            <w:r>
              <w:rPr>
                <w:rFonts w:ascii="Calibri" w:hAnsi="Calibri"/>
                <w:color w:val="000000"/>
              </w:rPr>
              <w:t>Wales</w:t>
            </w:r>
          </w:p>
        </w:tc>
        <w:tc>
          <w:tcPr>
            <w:tcW w:w="1200" w:type="dxa"/>
            <w:vAlign w:val="bottom"/>
          </w:tcPr>
          <w:p w14:paraId="1D5ABAB0" w14:textId="370A12BE" w:rsidR="00687CDA" w:rsidRDefault="00687CDA" w:rsidP="00AD7A24">
            <w:pPr>
              <w:jc w:val="center"/>
            </w:pPr>
            <w:r>
              <w:rPr>
                <w:rFonts w:ascii="Calibri" w:hAnsi="Calibri"/>
                <w:color w:val="000000"/>
              </w:rPr>
              <w:t>3</w:t>
            </w:r>
            <w:r w:rsidR="000D4894">
              <w:rPr>
                <w:rFonts w:ascii="Calibri" w:hAnsi="Calibri"/>
                <w:color w:val="000000"/>
              </w:rPr>
              <w:t>%</w:t>
            </w:r>
          </w:p>
        </w:tc>
        <w:tc>
          <w:tcPr>
            <w:tcW w:w="1276" w:type="dxa"/>
            <w:vAlign w:val="bottom"/>
          </w:tcPr>
          <w:p w14:paraId="3CB8C615" w14:textId="53B8B12E" w:rsidR="00687CDA" w:rsidRDefault="00687CDA" w:rsidP="00AD7A24">
            <w:pPr>
              <w:jc w:val="center"/>
            </w:pPr>
            <w:r>
              <w:rPr>
                <w:rFonts w:ascii="Calibri" w:hAnsi="Calibri"/>
                <w:color w:val="000000"/>
              </w:rPr>
              <w:t>2</w:t>
            </w:r>
            <w:r w:rsidR="000D4894">
              <w:rPr>
                <w:rFonts w:ascii="Calibri" w:hAnsi="Calibri"/>
                <w:color w:val="000000"/>
              </w:rPr>
              <w:t>%</w:t>
            </w:r>
          </w:p>
        </w:tc>
        <w:tc>
          <w:tcPr>
            <w:tcW w:w="1276" w:type="dxa"/>
            <w:vAlign w:val="bottom"/>
          </w:tcPr>
          <w:p w14:paraId="1793ECCC" w14:textId="60BE6C5B" w:rsidR="00687CDA" w:rsidRDefault="00687CDA" w:rsidP="00AD7A24">
            <w:pPr>
              <w:jc w:val="center"/>
            </w:pPr>
            <w:r>
              <w:rPr>
                <w:rFonts w:ascii="Calibri" w:hAnsi="Calibri"/>
                <w:color w:val="000000"/>
              </w:rPr>
              <w:t>5</w:t>
            </w:r>
            <w:r w:rsidR="000D4894">
              <w:rPr>
                <w:rFonts w:ascii="Calibri" w:hAnsi="Calibri"/>
                <w:color w:val="000000"/>
              </w:rPr>
              <w:t>%</w:t>
            </w:r>
          </w:p>
        </w:tc>
      </w:tr>
      <w:tr w:rsidR="00687CDA" w14:paraId="55D3F793" w14:textId="77777777" w:rsidTr="00AD7A24">
        <w:tc>
          <w:tcPr>
            <w:tcW w:w="2310" w:type="dxa"/>
            <w:vAlign w:val="bottom"/>
          </w:tcPr>
          <w:p w14:paraId="3359DF14" w14:textId="77777777" w:rsidR="00687CDA" w:rsidRDefault="00687CDA" w:rsidP="00AD7A24">
            <w:pPr>
              <w:jc w:val="both"/>
            </w:pPr>
            <w:r>
              <w:rPr>
                <w:rFonts w:ascii="Calibri" w:hAnsi="Calibri"/>
                <w:color w:val="000000"/>
              </w:rPr>
              <w:t>Northern Ireland</w:t>
            </w:r>
          </w:p>
        </w:tc>
        <w:tc>
          <w:tcPr>
            <w:tcW w:w="1200" w:type="dxa"/>
            <w:vAlign w:val="bottom"/>
          </w:tcPr>
          <w:p w14:paraId="19CFCD1F" w14:textId="187DD346" w:rsidR="00687CDA" w:rsidRDefault="00687CDA" w:rsidP="00AD7A24">
            <w:pPr>
              <w:jc w:val="center"/>
            </w:pPr>
            <w:r>
              <w:rPr>
                <w:rFonts w:ascii="Calibri" w:hAnsi="Calibri"/>
                <w:color w:val="000000"/>
              </w:rPr>
              <w:t>3</w:t>
            </w:r>
            <w:r w:rsidR="000D4894">
              <w:rPr>
                <w:rFonts w:ascii="Calibri" w:hAnsi="Calibri"/>
                <w:color w:val="000000"/>
              </w:rPr>
              <w:t>%</w:t>
            </w:r>
          </w:p>
        </w:tc>
        <w:tc>
          <w:tcPr>
            <w:tcW w:w="1276" w:type="dxa"/>
            <w:vAlign w:val="bottom"/>
          </w:tcPr>
          <w:p w14:paraId="53FCE358" w14:textId="6F721523" w:rsidR="00687CDA" w:rsidRDefault="00687CDA" w:rsidP="00AD7A24">
            <w:pPr>
              <w:jc w:val="center"/>
            </w:pPr>
            <w:r>
              <w:rPr>
                <w:rFonts w:ascii="Calibri" w:hAnsi="Calibri"/>
                <w:color w:val="000000"/>
              </w:rPr>
              <w:t>1</w:t>
            </w:r>
            <w:r w:rsidR="000D4894">
              <w:rPr>
                <w:rFonts w:ascii="Calibri" w:hAnsi="Calibri"/>
                <w:color w:val="000000"/>
              </w:rPr>
              <w:t>%</w:t>
            </w:r>
          </w:p>
        </w:tc>
        <w:tc>
          <w:tcPr>
            <w:tcW w:w="1276" w:type="dxa"/>
            <w:vAlign w:val="bottom"/>
          </w:tcPr>
          <w:p w14:paraId="27AA92F1" w14:textId="044FBD2C" w:rsidR="00687CDA" w:rsidRDefault="00687CDA" w:rsidP="00AD7A24">
            <w:pPr>
              <w:jc w:val="center"/>
            </w:pPr>
            <w:r>
              <w:rPr>
                <w:rFonts w:ascii="Calibri" w:hAnsi="Calibri"/>
                <w:color w:val="000000"/>
              </w:rPr>
              <w:t>3</w:t>
            </w:r>
            <w:r w:rsidR="000D4894">
              <w:rPr>
                <w:rFonts w:ascii="Calibri" w:hAnsi="Calibri"/>
                <w:color w:val="000000"/>
              </w:rPr>
              <w:t>%</w:t>
            </w:r>
          </w:p>
        </w:tc>
      </w:tr>
      <w:tr w:rsidR="00687CDA" w14:paraId="4D4A71D7" w14:textId="77777777" w:rsidTr="00AD7A24">
        <w:tc>
          <w:tcPr>
            <w:tcW w:w="2310" w:type="dxa"/>
            <w:vAlign w:val="bottom"/>
          </w:tcPr>
          <w:p w14:paraId="3FCD9BF1" w14:textId="77777777" w:rsidR="00687CDA" w:rsidRDefault="00687CDA" w:rsidP="00AD7A24">
            <w:pPr>
              <w:jc w:val="both"/>
            </w:pPr>
            <w:r>
              <w:rPr>
                <w:rFonts w:ascii="Calibri" w:hAnsi="Calibri"/>
                <w:color w:val="000000"/>
              </w:rPr>
              <w:t>North East</w:t>
            </w:r>
          </w:p>
        </w:tc>
        <w:tc>
          <w:tcPr>
            <w:tcW w:w="1200" w:type="dxa"/>
            <w:vAlign w:val="bottom"/>
          </w:tcPr>
          <w:p w14:paraId="4DE448B6" w14:textId="2E1EEC83" w:rsidR="00687CDA" w:rsidRDefault="00687CDA" w:rsidP="00AD7A24">
            <w:pPr>
              <w:jc w:val="center"/>
            </w:pPr>
            <w:r>
              <w:rPr>
                <w:rFonts w:ascii="Calibri" w:hAnsi="Calibri"/>
                <w:color w:val="000000"/>
              </w:rPr>
              <w:t>1</w:t>
            </w:r>
            <w:r w:rsidR="000D4894">
              <w:rPr>
                <w:rFonts w:ascii="Calibri" w:hAnsi="Calibri"/>
                <w:color w:val="000000"/>
              </w:rPr>
              <w:t>%</w:t>
            </w:r>
          </w:p>
        </w:tc>
        <w:tc>
          <w:tcPr>
            <w:tcW w:w="1276" w:type="dxa"/>
            <w:vAlign w:val="bottom"/>
          </w:tcPr>
          <w:p w14:paraId="49C657FE" w14:textId="06A1E158" w:rsidR="00687CDA" w:rsidRDefault="00687CDA" w:rsidP="00AD7A24">
            <w:pPr>
              <w:jc w:val="center"/>
            </w:pPr>
            <w:r>
              <w:rPr>
                <w:rFonts w:ascii="Calibri" w:hAnsi="Calibri"/>
                <w:color w:val="000000"/>
              </w:rPr>
              <w:t>2</w:t>
            </w:r>
            <w:r w:rsidR="000D4894">
              <w:rPr>
                <w:rFonts w:ascii="Calibri" w:hAnsi="Calibri"/>
                <w:color w:val="000000"/>
              </w:rPr>
              <w:t>%</w:t>
            </w:r>
          </w:p>
        </w:tc>
        <w:tc>
          <w:tcPr>
            <w:tcW w:w="1276" w:type="dxa"/>
            <w:vAlign w:val="bottom"/>
          </w:tcPr>
          <w:p w14:paraId="592A7800" w14:textId="0218F9DC" w:rsidR="00687CDA" w:rsidRDefault="00687CDA" w:rsidP="00AD7A24">
            <w:pPr>
              <w:jc w:val="center"/>
            </w:pPr>
            <w:r>
              <w:rPr>
                <w:rFonts w:ascii="Calibri" w:hAnsi="Calibri"/>
                <w:color w:val="000000"/>
              </w:rPr>
              <w:t>4</w:t>
            </w:r>
            <w:r w:rsidR="000D4894">
              <w:rPr>
                <w:rFonts w:ascii="Calibri" w:hAnsi="Calibri"/>
                <w:color w:val="000000"/>
              </w:rPr>
              <w:t>%</w:t>
            </w:r>
          </w:p>
        </w:tc>
      </w:tr>
      <w:tr w:rsidR="00687CDA" w14:paraId="0E033D0D" w14:textId="77777777" w:rsidTr="00AD7A24">
        <w:tc>
          <w:tcPr>
            <w:tcW w:w="2310" w:type="dxa"/>
            <w:vAlign w:val="bottom"/>
          </w:tcPr>
          <w:p w14:paraId="3BFE16C7" w14:textId="77777777" w:rsidR="00687CDA" w:rsidRDefault="00687CDA" w:rsidP="00AD7A24">
            <w:pPr>
              <w:jc w:val="both"/>
              <w:rPr>
                <w:rFonts w:ascii="Calibri" w:hAnsi="Calibri"/>
                <w:color w:val="000000"/>
              </w:rPr>
            </w:pPr>
            <w:r>
              <w:rPr>
                <w:rFonts w:ascii="Calibri" w:hAnsi="Calibri"/>
                <w:color w:val="000000"/>
              </w:rPr>
              <w:t>Total</w:t>
            </w:r>
          </w:p>
        </w:tc>
        <w:tc>
          <w:tcPr>
            <w:tcW w:w="1200" w:type="dxa"/>
            <w:vAlign w:val="bottom"/>
          </w:tcPr>
          <w:p w14:paraId="1DBCA9AF" w14:textId="73642D63" w:rsidR="00687CDA" w:rsidRDefault="00687CDA" w:rsidP="00AD7A24">
            <w:pPr>
              <w:jc w:val="center"/>
              <w:rPr>
                <w:rFonts w:ascii="Calibri" w:hAnsi="Calibri"/>
                <w:color w:val="000000"/>
              </w:rPr>
            </w:pPr>
            <w:r>
              <w:rPr>
                <w:rFonts w:ascii="Calibri" w:hAnsi="Calibri"/>
                <w:color w:val="000000"/>
              </w:rPr>
              <w:t>100</w:t>
            </w:r>
            <w:r w:rsidR="000D4894">
              <w:rPr>
                <w:rFonts w:ascii="Calibri" w:hAnsi="Calibri"/>
                <w:color w:val="000000"/>
              </w:rPr>
              <w:t>%</w:t>
            </w:r>
          </w:p>
        </w:tc>
        <w:tc>
          <w:tcPr>
            <w:tcW w:w="1276" w:type="dxa"/>
            <w:vAlign w:val="bottom"/>
          </w:tcPr>
          <w:p w14:paraId="69C66CCC" w14:textId="0B4EA9BD" w:rsidR="00687CDA" w:rsidRDefault="00687CDA" w:rsidP="00AD7A24">
            <w:pPr>
              <w:jc w:val="center"/>
              <w:rPr>
                <w:rFonts w:ascii="Calibri" w:hAnsi="Calibri"/>
                <w:color w:val="000000"/>
              </w:rPr>
            </w:pPr>
            <w:r>
              <w:rPr>
                <w:rFonts w:ascii="Calibri" w:hAnsi="Calibri"/>
                <w:color w:val="000000"/>
              </w:rPr>
              <w:t>100</w:t>
            </w:r>
            <w:r w:rsidR="000D4894">
              <w:rPr>
                <w:rFonts w:ascii="Calibri" w:hAnsi="Calibri"/>
                <w:color w:val="000000"/>
              </w:rPr>
              <w:t>%</w:t>
            </w:r>
          </w:p>
        </w:tc>
        <w:tc>
          <w:tcPr>
            <w:tcW w:w="1276" w:type="dxa"/>
            <w:vAlign w:val="bottom"/>
          </w:tcPr>
          <w:p w14:paraId="7C48C039" w14:textId="13361B3B" w:rsidR="00687CDA" w:rsidRDefault="00687CDA" w:rsidP="00AD7A24">
            <w:pPr>
              <w:jc w:val="center"/>
              <w:rPr>
                <w:rFonts w:ascii="Calibri" w:hAnsi="Calibri"/>
                <w:color w:val="000000"/>
              </w:rPr>
            </w:pPr>
            <w:r>
              <w:rPr>
                <w:rFonts w:ascii="Calibri" w:hAnsi="Calibri"/>
                <w:color w:val="000000"/>
              </w:rPr>
              <w:t>100</w:t>
            </w:r>
            <w:r w:rsidR="000D4894">
              <w:rPr>
                <w:rFonts w:ascii="Calibri" w:hAnsi="Calibri"/>
                <w:color w:val="000000"/>
              </w:rPr>
              <w:t>%</w:t>
            </w:r>
          </w:p>
        </w:tc>
      </w:tr>
    </w:tbl>
    <w:p w14:paraId="2D49D665" w14:textId="77777777" w:rsidR="00687CDA" w:rsidRPr="00DC2669" w:rsidRDefault="00687CDA" w:rsidP="00687CDA">
      <w:pPr>
        <w:spacing w:after="0" w:line="240" w:lineRule="auto"/>
        <w:rPr>
          <w:sz w:val="18"/>
          <w:szCs w:val="18"/>
        </w:rPr>
      </w:pPr>
      <w:r w:rsidRPr="00DC2669">
        <w:rPr>
          <w:sz w:val="18"/>
          <w:szCs w:val="18"/>
        </w:rPr>
        <w:t xml:space="preserve">Notes: based on analysis of the LFS 2015: Q1-Q4. </w:t>
      </w:r>
    </w:p>
    <w:p w14:paraId="04B29CCA" w14:textId="77777777" w:rsidR="00687CDA" w:rsidRDefault="00687CDA" w:rsidP="00687CDA">
      <w:pPr>
        <w:spacing w:after="0" w:line="240" w:lineRule="auto"/>
      </w:pPr>
    </w:p>
    <w:p w14:paraId="69FDAF49" w14:textId="77777777" w:rsidR="00687CDA" w:rsidRDefault="00687CDA" w:rsidP="00594029">
      <w:pPr>
        <w:spacing w:after="0" w:line="240" w:lineRule="auto"/>
      </w:pPr>
    </w:p>
    <w:p w14:paraId="05E1F000" w14:textId="77777777" w:rsidR="00DF5121" w:rsidRPr="00DF5121" w:rsidRDefault="00DF5121" w:rsidP="00594029">
      <w:pPr>
        <w:spacing w:after="0" w:line="240" w:lineRule="auto"/>
        <w:rPr>
          <w:b/>
        </w:rPr>
      </w:pPr>
      <w:r>
        <w:rPr>
          <w:b/>
        </w:rPr>
        <w:t xml:space="preserve">What are the implications for EU migration after Brexit? </w:t>
      </w:r>
    </w:p>
    <w:p w14:paraId="47C0F1B6" w14:textId="77777777" w:rsidR="00983D88" w:rsidRDefault="00983D88" w:rsidP="00594029">
      <w:pPr>
        <w:spacing w:after="0" w:line="240" w:lineRule="auto"/>
      </w:pPr>
    </w:p>
    <w:p w14:paraId="5005B86B" w14:textId="77777777" w:rsidR="000F37F4" w:rsidRDefault="0013721C" w:rsidP="00594029">
      <w:pPr>
        <w:spacing w:after="0" w:line="240" w:lineRule="auto"/>
      </w:pPr>
      <w:r>
        <w:t xml:space="preserve">While the data point to important differences in how admission requirements might affect </w:t>
      </w:r>
      <w:r w:rsidR="002E7E7B">
        <w:t>the employment of new</w:t>
      </w:r>
      <w:r w:rsidR="00AD462E">
        <w:t>ly arriving</w:t>
      </w:r>
      <w:r>
        <w:t xml:space="preserve"> EU </w:t>
      </w:r>
      <w:r w:rsidR="009538F1">
        <w:t>nationals</w:t>
      </w:r>
      <w:r>
        <w:t xml:space="preserve"> in different industries,</w:t>
      </w:r>
      <w:r w:rsidR="008D5248">
        <w:t xml:space="preserve"> is not possible to </w:t>
      </w:r>
      <w:r w:rsidR="00AE7FDB">
        <w:t xml:space="preserve">make a robust prediction of </w:t>
      </w:r>
      <w:r>
        <w:t xml:space="preserve">the number of </w:t>
      </w:r>
      <w:r w:rsidR="00AE7FDB">
        <w:t xml:space="preserve">EU migrants </w:t>
      </w:r>
      <w:r w:rsidR="00DF796C">
        <w:t xml:space="preserve">who </w:t>
      </w:r>
      <w:r w:rsidR="00AE7FDB">
        <w:t>would still come to the UK if they had to meet admission requirements</w:t>
      </w:r>
      <w:r w:rsidR="008D5248">
        <w:t>, even if future policies were known</w:t>
      </w:r>
      <w:r w:rsidR="00AE7FDB">
        <w:t xml:space="preserve">. There are several reasons for this. </w:t>
      </w:r>
    </w:p>
    <w:p w14:paraId="0680D0E5" w14:textId="77777777" w:rsidR="00AE7FDB" w:rsidRDefault="00AE7FDB" w:rsidP="00594029">
      <w:pPr>
        <w:spacing w:after="0" w:line="240" w:lineRule="auto"/>
      </w:pPr>
    </w:p>
    <w:p w14:paraId="16DA8383" w14:textId="77777777" w:rsidR="00432BC9" w:rsidRDefault="00AE7FDB" w:rsidP="00432BC9">
      <w:pPr>
        <w:spacing w:after="0" w:line="240" w:lineRule="auto"/>
        <w:jc w:val="both"/>
      </w:pPr>
      <w:r>
        <w:t xml:space="preserve">First, migration levels depend on many different </w:t>
      </w:r>
      <w:hyperlink r:id="rId23" w:history="1">
        <w:r w:rsidR="00BB07AA" w:rsidRPr="00432BC9">
          <w:rPr>
            <w:rStyle w:val="Hyperlink"/>
          </w:rPr>
          <w:t>push and pull factors</w:t>
        </w:r>
      </w:hyperlink>
      <w:r w:rsidRPr="00432BC9">
        <w:t xml:space="preserve">, including economic growth in the UK and in countries of origin, which naturally change </w:t>
      </w:r>
      <w:r w:rsidR="00BB07AA" w:rsidRPr="00432BC9">
        <w:t>over time</w:t>
      </w:r>
      <w:r w:rsidR="00BB07AA">
        <w:t xml:space="preserve"> and are difficult to forecast. </w:t>
      </w:r>
      <w:r w:rsidR="00432BC9">
        <w:t>An</w:t>
      </w:r>
      <w:r w:rsidR="00432BC9" w:rsidRPr="009D2445">
        <w:t xml:space="preserve"> exit from the EU would affect the UK economy in many different ways, and these effects could lead to either higher or lower demand for EU workers, regardless of the prevailing migration policies.</w:t>
      </w:r>
    </w:p>
    <w:p w14:paraId="57F3F368" w14:textId="77777777" w:rsidR="00432BC9" w:rsidRDefault="00432BC9" w:rsidP="00432BC9">
      <w:pPr>
        <w:spacing w:after="0" w:line="240" w:lineRule="auto"/>
        <w:jc w:val="both"/>
        <w:rPr>
          <w:rFonts w:cs="Arial"/>
          <w:color w:val="000000"/>
        </w:rPr>
      </w:pPr>
    </w:p>
    <w:p w14:paraId="44CDCD2C" w14:textId="77777777" w:rsidR="00AE7FDB" w:rsidRDefault="00BB07AA" w:rsidP="00594029">
      <w:pPr>
        <w:spacing w:after="0" w:line="240" w:lineRule="auto"/>
        <w:rPr>
          <w:rFonts w:cs="Arial"/>
          <w:color w:val="000000"/>
        </w:rPr>
      </w:pPr>
      <w:r>
        <w:rPr>
          <w:rFonts w:cs="Arial"/>
          <w:color w:val="000000"/>
        </w:rPr>
        <w:t>Second, the characteristics of prospective migrants and the ease with which they would meet admission criteria may change over time.</w:t>
      </w:r>
      <w:r w:rsidRPr="00BB07AA">
        <w:rPr>
          <w:rFonts w:cs="Arial"/>
          <w:color w:val="000000"/>
        </w:rPr>
        <w:t xml:space="preserve"> </w:t>
      </w:r>
      <w:r>
        <w:rPr>
          <w:rFonts w:cs="Arial"/>
          <w:color w:val="000000"/>
        </w:rPr>
        <w:t>EU migrants who are already living in the UK may have different skills and experience compared to people who might wish to move in the future.</w:t>
      </w:r>
    </w:p>
    <w:p w14:paraId="2644FC82" w14:textId="77777777" w:rsidR="00BB07AA" w:rsidRDefault="00BB07AA" w:rsidP="00594029">
      <w:pPr>
        <w:spacing w:after="0" w:line="240" w:lineRule="auto"/>
        <w:rPr>
          <w:rFonts w:cs="Arial"/>
          <w:color w:val="000000"/>
        </w:rPr>
      </w:pPr>
    </w:p>
    <w:p w14:paraId="3F97D3CE" w14:textId="77777777" w:rsidR="00BB07AA" w:rsidRDefault="00BB07AA" w:rsidP="00BB07AA">
      <w:pPr>
        <w:spacing w:after="0" w:line="240" w:lineRule="auto"/>
        <w:jc w:val="both"/>
      </w:pPr>
      <w:r>
        <w:rPr>
          <w:rFonts w:cs="Arial"/>
          <w:color w:val="000000"/>
        </w:rPr>
        <w:t xml:space="preserve">Third, prospective migrants may respond to any new migration policies in different ways. For example, they might </w:t>
      </w:r>
      <w:r w:rsidR="009538F1">
        <w:rPr>
          <w:rFonts w:cs="Arial"/>
          <w:color w:val="000000"/>
        </w:rPr>
        <w:t xml:space="preserve">focus more on </w:t>
      </w:r>
      <w:r w:rsidR="007476FE">
        <w:rPr>
          <w:rFonts w:cs="Arial"/>
          <w:color w:val="000000"/>
        </w:rPr>
        <w:t xml:space="preserve">finding </w:t>
      </w:r>
      <w:r>
        <w:rPr>
          <w:rFonts w:cs="Arial"/>
          <w:color w:val="000000"/>
        </w:rPr>
        <w:t xml:space="preserve">jobs that meet immigration requirements. </w:t>
      </w:r>
      <w:r w:rsidR="008B446E">
        <w:rPr>
          <w:rFonts w:cs="Arial"/>
          <w:color w:val="000000"/>
        </w:rPr>
        <w:t>For example, s</w:t>
      </w:r>
      <w:r>
        <w:t xml:space="preserve">ome EU nationals who </w:t>
      </w:r>
      <w:r w:rsidR="00477B3B">
        <w:t>did</w:t>
      </w:r>
      <w:r>
        <w:t xml:space="preserve"> not qualify for work visas might be able to switch into the family route if </w:t>
      </w:r>
      <w:r>
        <w:lastRenderedPageBreak/>
        <w:t xml:space="preserve">they are married to someone who is settled in the UK and earning above the required income threshold for family migration. </w:t>
      </w:r>
    </w:p>
    <w:p w14:paraId="3EA551BD" w14:textId="77777777" w:rsidR="008D5248" w:rsidRDefault="008D5248" w:rsidP="00594029">
      <w:pPr>
        <w:spacing w:after="0" w:line="240" w:lineRule="auto"/>
      </w:pPr>
    </w:p>
    <w:p w14:paraId="673D9992" w14:textId="77777777" w:rsidR="00BB07AA" w:rsidRDefault="008D5248" w:rsidP="00594029">
      <w:pPr>
        <w:spacing w:after="0" w:line="240" w:lineRule="auto"/>
      </w:pPr>
      <w:r>
        <w:t xml:space="preserve">Nonetheless, it is clear that there are scenarios in which admission requirements </w:t>
      </w:r>
      <w:r w:rsidR="00906CA0">
        <w:t xml:space="preserve">for EU nationals </w:t>
      </w:r>
      <w:r>
        <w:t xml:space="preserve">could represent a substantial departure from the status quo, particularly if work-visa rules similar to the current ones for non-EU citizens </w:t>
      </w:r>
      <w:r w:rsidR="00906CA0">
        <w:t>were put in place</w:t>
      </w:r>
      <w:r>
        <w:t xml:space="preserve"> in place. </w:t>
      </w:r>
    </w:p>
    <w:p w14:paraId="4139750B" w14:textId="77777777" w:rsidR="008D5248" w:rsidRDefault="008D5248" w:rsidP="00594029">
      <w:pPr>
        <w:spacing w:after="0" w:line="240" w:lineRule="auto"/>
      </w:pPr>
    </w:p>
    <w:p w14:paraId="544BFC43" w14:textId="77777777" w:rsidR="008D5248" w:rsidRDefault="008D5248" w:rsidP="00594029">
      <w:pPr>
        <w:spacing w:after="0" w:line="240" w:lineRule="auto"/>
      </w:pPr>
      <w:r>
        <w:t>It is also clear that in any selection s</w:t>
      </w:r>
      <w:r w:rsidR="007833D4">
        <w:t xml:space="preserve">ystem based on earnings and </w:t>
      </w:r>
      <w:r>
        <w:t>proposed occupation, there would be large differences in the implications for different industries</w:t>
      </w:r>
      <w:r w:rsidR="007833D4">
        <w:t xml:space="preserve"> and, to a lesser extent, regions</w:t>
      </w:r>
      <w:r>
        <w:t xml:space="preserve">. </w:t>
      </w:r>
      <w:r w:rsidR="005F3E3D">
        <w:t>Employers in industries</w:t>
      </w:r>
      <w:r>
        <w:t xml:space="preserve"> with low shares of highly skilled jobs—such as the distribution, hotels and restaurants </w:t>
      </w:r>
      <w:r w:rsidR="005F3E3D">
        <w:t>category</w:t>
      </w:r>
      <w:r>
        <w:t xml:space="preserve"> which is now the largest employer of EU migrants—</w:t>
      </w:r>
      <w:r w:rsidR="007833D4">
        <w:t>could find it particularly</w:t>
      </w:r>
      <w:r>
        <w:t xml:space="preserve"> difficult to hire new workers</w:t>
      </w:r>
      <w:r w:rsidR="007833D4">
        <w:t xml:space="preserve"> from EU countries </w:t>
      </w:r>
      <w:r w:rsidR="00477B3B">
        <w:t>through the employer-sponsored Tier 2 system, while in other industries</w:t>
      </w:r>
      <w:r w:rsidR="007833D4">
        <w:t xml:space="preserve"> such as banking and finance, the effects would be smaller</w:t>
      </w:r>
      <w:r w:rsidR="00906CA0">
        <w:t xml:space="preserve"> but potentially still significant</w:t>
      </w:r>
      <w:r w:rsidR="007833D4">
        <w:t xml:space="preserve">. </w:t>
      </w:r>
    </w:p>
    <w:p w14:paraId="02198B4F" w14:textId="77777777" w:rsidR="008D5248" w:rsidRDefault="008D5248" w:rsidP="00DF5121">
      <w:pPr>
        <w:spacing w:after="0" w:line="240" w:lineRule="auto"/>
        <w:jc w:val="both"/>
      </w:pPr>
    </w:p>
    <w:p w14:paraId="2901F792" w14:textId="77777777" w:rsidR="005F3E3D" w:rsidRDefault="005F3E3D" w:rsidP="005F3E3D">
      <w:pPr>
        <w:spacing w:after="0" w:line="240" w:lineRule="auto"/>
        <w:jc w:val="both"/>
        <w:rPr>
          <w:b/>
        </w:rPr>
      </w:pPr>
      <w:r w:rsidRPr="006B4215">
        <w:rPr>
          <w:b/>
        </w:rPr>
        <w:t>Acknowledgements</w:t>
      </w:r>
    </w:p>
    <w:p w14:paraId="4B83536A" w14:textId="77777777" w:rsidR="005F3E3D" w:rsidRDefault="005F3E3D" w:rsidP="005F3E3D">
      <w:pPr>
        <w:spacing w:after="0" w:line="240" w:lineRule="auto"/>
        <w:jc w:val="both"/>
        <w:rPr>
          <w:b/>
        </w:rPr>
      </w:pPr>
    </w:p>
    <w:p w14:paraId="0823DCE8" w14:textId="77777777" w:rsidR="005F3E3D" w:rsidRDefault="005F3E3D" w:rsidP="005F3E3D">
      <w:pPr>
        <w:spacing w:after="0" w:line="240" w:lineRule="auto"/>
        <w:jc w:val="both"/>
      </w:pPr>
      <w:r w:rsidRPr="006B4215">
        <w:t>Thanks to Jonathan Portes, Martin Ruhs, Will Somerville and Jonathan Wadsworth for helpful comments and suggestion on an earlier draft of th</w:t>
      </w:r>
      <w:r>
        <w:t>is</w:t>
      </w:r>
      <w:r w:rsidRPr="006B4215">
        <w:t xml:space="preserve"> report.</w:t>
      </w:r>
      <w:r w:rsidRPr="009E527B">
        <w:t xml:space="preserve"> </w:t>
      </w:r>
    </w:p>
    <w:p w14:paraId="62DE6A20" w14:textId="77777777" w:rsidR="008D5248" w:rsidRDefault="008D5248" w:rsidP="00DF5121">
      <w:pPr>
        <w:spacing w:after="0" w:line="240" w:lineRule="auto"/>
        <w:jc w:val="both"/>
      </w:pPr>
    </w:p>
    <w:p w14:paraId="099A3029" w14:textId="77777777" w:rsidR="009E527B" w:rsidRDefault="009E527B" w:rsidP="00135026"/>
    <w:sectPr w:rsidR="009E527B">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DCE0" w14:textId="77777777" w:rsidR="003208C9" w:rsidRDefault="003208C9" w:rsidP="008A3514">
      <w:pPr>
        <w:spacing w:after="0" w:line="240" w:lineRule="auto"/>
      </w:pPr>
      <w:r>
        <w:separator/>
      </w:r>
    </w:p>
  </w:endnote>
  <w:endnote w:type="continuationSeparator" w:id="0">
    <w:p w14:paraId="111B7290" w14:textId="77777777" w:rsidR="003208C9" w:rsidRDefault="003208C9" w:rsidP="008A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FFED2" w14:textId="77777777" w:rsidR="003208C9" w:rsidRDefault="003208C9" w:rsidP="008A3514">
      <w:pPr>
        <w:spacing w:after="0" w:line="240" w:lineRule="auto"/>
      </w:pPr>
      <w:r>
        <w:separator/>
      </w:r>
    </w:p>
  </w:footnote>
  <w:footnote w:type="continuationSeparator" w:id="0">
    <w:p w14:paraId="679E39CA" w14:textId="77777777" w:rsidR="003208C9" w:rsidRDefault="003208C9" w:rsidP="008A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E48D" w14:textId="77777777" w:rsidR="006874C2" w:rsidRPr="008A3514" w:rsidRDefault="006874C2" w:rsidP="008A3514">
    <w:pPr>
      <w:pStyle w:val="Header"/>
      <w:jc w:val="center"/>
      <w:rPr>
        <w:b/>
        <w:color w:val="FF0000"/>
      </w:rPr>
    </w:pPr>
    <w:r w:rsidRPr="008A3514">
      <w:rPr>
        <w:b/>
        <w:color w:val="FF0000"/>
      </w:rPr>
      <w:t>Confidential review draft: do not cite or circulate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77D"/>
    <w:multiLevelType w:val="hybridMultilevel"/>
    <w:tmpl w:val="EE2A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B266A"/>
    <w:multiLevelType w:val="hybridMultilevel"/>
    <w:tmpl w:val="E2BE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55142"/>
    <w:multiLevelType w:val="hybridMultilevel"/>
    <w:tmpl w:val="180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2111E"/>
    <w:multiLevelType w:val="hybridMultilevel"/>
    <w:tmpl w:val="C34E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0E2671"/>
    <w:multiLevelType w:val="hybridMultilevel"/>
    <w:tmpl w:val="E30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4B734E"/>
    <w:multiLevelType w:val="hybridMultilevel"/>
    <w:tmpl w:val="AF88AADC"/>
    <w:lvl w:ilvl="0" w:tplc="07B6238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833985"/>
    <w:multiLevelType w:val="hybridMultilevel"/>
    <w:tmpl w:val="A8E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3"/>
    <w:rsid w:val="00013FC8"/>
    <w:rsid w:val="00014147"/>
    <w:rsid w:val="00025E9B"/>
    <w:rsid w:val="000273FA"/>
    <w:rsid w:val="000279FF"/>
    <w:rsid w:val="00053699"/>
    <w:rsid w:val="00055336"/>
    <w:rsid w:val="00061D4A"/>
    <w:rsid w:val="00063FFF"/>
    <w:rsid w:val="00066390"/>
    <w:rsid w:val="00066D5C"/>
    <w:rsid w:val="000711DA"/>
    <w:rsid w:val="00073365"/>
    <w:rsid w:val="00074DEC"/>
    <w:rsid w:val="00075B0A"/>
    <w:rsid w:val="00077D4D"/>
    <w:rsid w:val="00081F25"/>
    <w:rsid w:val="000841FD"/>
    <w:rsid w:val="00085988"/>
    <w:rsid w:val="00085ECA"/>
    <w:rsid w:val="00087B96"/>
    <w:rsid w:val="00093D0B"/>
    <w:rsid w:val="0009579B"/>
    <w:rsid w:val="00095F7A"/>
    <w:rsid w:val="000A12E1"/>
    <w:rsid w:val="000A6958"/>
    <w:rsid w:val="000A7543"/>
    <w:rsid w:val="000B4A23"/>
    <w:rsid w:val="000B7CCC"/>
    <w:rsid w:val="000C0B1A"/>
    <w:rsid w:val="000C2391"/>
    <w:rsid w:val="000C2A6C"/>
    <w:rsid w:val="000C3F2E"/>
    <w:rsid w:val="000D4894"/>
    <w:rsid w:val="000D5107"/>
    <w:rsid w:val="000D6A44"/>
    <w:rsid w:val="000E48A9"/>
    <w:rsid w:val="000E5B66"/>
    <w:rsid w:val="000E702C"/>
    <w:rsid w:val="000F0A95"/>
    <w:rsid w:val="000F1756"/>
    <w:rsid w:val="000F31CF"/>
    <w:rsid w:val="000F37F4"/>
    <w:rsid w:val="000F53DA"/>
    <w:rsid w:val="000F6007"/>
    <w:rsid w:val="000F6537"/>
    <w:rsid w:val="00101DB1"/>
    <w:rsid w:val="00102602"/>
    <w:rsid w:val="001148DF"/>
    <w:rsid w:val="00120306"/>
    <w:rsid w:val="001318D1"/>
    <w:rsid w:val="00135026"/>
    <w:rsid w:val="0013721C"/>
    <w:rsid w:val="001373C7"/>
    <w:rsid w:val="00137757"/>
    <w:rsid w:val="0014140B"/>
    <w:rsid w:val="001459FE"/>
    <w:rsid w:val="001506FF"/>
    <w:rsid w:val="00150A84"/>
    <w:rsid w:val="0015113A"/>
    <w:rsid w:val="00154207"/>
    <w:rsid w:val="00157459"/>
    <w:rsid w:val="0016245C"/>
    <w:rsid w:val="00170031"/>
    <w:rsid w:val="00181587"/>
    <w:rsid w:val="00184519"/>
    <w:rsid w:val="001868C8"/>
    <w:rsid w:val="00187EAA"/>
    <w:rsid w:val="00191896"/>
    <w:rsid w:val="00192E47"/>
    <w:rsid w:val="0019309F"/>
    <w:rsid w:val="001A2D7B"/>
    <w:rsid w:val="001A540A"/>
    <w:rsid w:val="001A7342"/>
    <w:rsid w:val="001B21A6"/>
    <w:rsid w:val="001B2361"/>
    <w:rsid w:val="001B7BDD"/>
    <w:rsid w:val="001C0765"/>
    <w:rsid w:val="001D0391"/>
    <w:rsid w:val="001D56A5"/>
    <w:rsid w:val="001E153B"/>
    <w:rsid w:val="001E2983"/>
    <w:rsid w:val="001E5394"/>
    <w:rsid w:val="001E57E6"/>
    <w:rsid w:val="001E72DF"/>
    <w:rsid w:val="001F20D8"/>
    <w:rsid w:val="001F44A3"/>
    <w:rsid w:val="001F47F7"/>
    <w:rsid w:val="001F4FE4"/>
    <w:rsid w:val="001F6849"/>
    <w:rsid w:val="00204603"/>
    <w:rsid w:val="0021003C"/>
    <w:rsid w:val="00210D0C"/>
    <w:rsid w:val="00212320"/>
    <w:rsid w:val="00216CB6"/>
    <w:rsid w:val="00217BC0"/>
    <w:rsid w:val="002241D5"/>
    <w:rsid w:val="0022456D"/>
    <w:rsid w:val="00233741"/>
    <w:rsid w:val="00234577"/>
    <w:rsid w:val="002354A6"/>
    <w:rsid w:val="00235BB4"/>
    <w:rsid w:val="00235FC6"/>
    <w:rsid w:val="00236DD0"/>
    <w:rsid w:val="002449B9"/>
    <w:rsid w:val="00245D78"/>
    <w:rsid w:val="00250AD1"/>
    <w:rsid w:val="00261AF2"/>
    <w:rsid w:val="00265F48"/>
    <w:rsid w:val="002708D5"/>
    <w:rsid w:val="00271F78"/>
    <w:rsid w:val="002726F8"/>
    <w:rsid w:val="002743B2"/>
    <w:rsid w:val="00275893"/>
    <w:rsid w:val="00284A19"/>
    <w:rsid w:val="00285A1A"/>
    <w:rsid w:val="002911BB"/>
    <w:rsid w:val="00295FA5"/>
    <w:rsid w:val="002968B9"/>
    <w:rsid w:val="00296EF0"/>
    <w:rsid w:val="002A3AD8"/>
    <w:rsid w:val="002A4F07"/>
    <w:rsid w:val="002A550F"/>
    <w:rsid w:val="002B0ACE"/>
    <w:rsid w:val="002B1541"/>
    <w:rsid w:val="002C13FD"/>
    <w:rsid w:val="002C2109"/>
    <w:rsid w:val="002C4282"/>
    <w:rsid w:val="002D6BB7"/>
    <w:rsid w:val="002E23CE"/>
    <w:rsid w:val="002E56CB"/>
    <w:rsid w:val="002E7E7B"/>
    <w:rsid w:val="00300C68"/>
    <w:rsid w:val="00302874"/>
    <w:rsid w:val="00303EF0"/>
    <w:rsid w:val="00304062"/>
    <w:rsid w:val="003142D0"/>
    <w:rsid w:val="00314478"/>
    <w:rsid w:val="003157C6"/>
    <w:rsid w:val="00316CCA"/>
    <w:rsid w:val="00320609"/>
    <w:rsid w:val="003208C9"/>
    <w:rsid w:val="00320E8F"/>
    <w:rsid w:val="00321EA9"/>
    <w:rsid w:val="00323758"/>
    <w:rsid w:val="00324442"/>
    <w:rsid w:val="00327B20"/>
    <w:rsid w:val="00327F73"/>
    <w:rsid w:val="00342241"/>
    <w:rsid w:val="00343411"/>
    <w:rsid w:val="00343B60"/>
    <w:rsid w:val="003443BD"/>
    <w:rsid w:val="00344C3E"/>
    <w:rsid w:val="003519D2"/>
    <w:rsid w:val="00354845"/>
    <w:rsid w:val="00354F09"/>
    <w:rsid w:val="0036002B"/>
    <w:rsid w:val="003623AF"/>
    <w:rsid w:val="003705B1"/>
    <w:rsid w:val="00372CA6"/>
    <w:rsid w:val="003733EB"/>
    <w:rsid w:val="00373DBE"/>
    <w:rsid w:val="0037447C"/>
    <w:rsid w:val="003755DF"/>
    <w:rsid w:val="0038117C"/>
    <w:rsid w:val="00384AFB"/>
    <w:rsid w:val="00384F48"/>
    <w:rsid w:val="00385B64"/>
    <w:rsid w:val="00386DE6"/>
    <w:rsid w:val="0039369E"/>
    <w:rsid w:val="00394D43"/>
    <w:rsid w:val="003956A7"/>
    <w:rsid w:val="00395A45"/>
    <w:rsid w:val="003A0284"/>
    <w:rsid w:val="003A0BC7"/>
    <w:rsid w:val="003A0EC9"/>
    <w:rsid w:val="003A0F31"/>
    <w:rsid w:val="003B51DD"/>
    <w:rsid w:val="003B54B9"/>
    <w:rsid w:val="003B68F1"/>
    <w:rsid w:val="003C1E40"/>
    <w:rsid w:val="003C3BB8"/>
    <w:rsid w:val="003D12F2"/>
    <w:rsid w:val="003D1C1A"/>
    <w:rsid w:val="003D2528"/>
    <w:rsid w:val="003D440A"/>
    <w:rsid w:val="003D4D15"/>
    <w:rsid w:val="003D55AC"/>
    <w:rsid w:val="003D5BB9"/>
    <w:rsid w:val="003D6A36"/>
    <w:rsid w:val="003D6A4F"/>
    <w:rsid w:val="003D7685"/>
    <w:rsid w:val="003E55DF"/>
    <w:rsid w:val="003E5B5A"/>
    <w:rsid w:val="003F184F"/>
    <w:rsid w:val="003F27B8"/>
    <w:rsid w:val="003F582F"/>
    <w:rsid w:val="003F74CC"/>
    <w:rsid w:val="00403B29"/>
    <w:rsid w:val="0040733B"/>
    <w:rsid w:val="004074DE"/>
    <w:rsid w:val="00411EA5"/>
    <w:rsid w:val="00422C46"/>
    <w:rsid w:val="00427CB2"/>
    <w:rsid w:val="00432BC9"/>
    <w:rsid w:val="00434E1B"/>
    <w:rsid w:val="00444ABA"/>
    <w:rsid w:val="004458DC"/>
    <w:rsid w:val="00447D25"/>
    <w:rsid w:val="00451001"/>
    <w:rsid w:val="00451553"/>
    <w:rsid w:val="004525FC"/>
    <w:rsid w:val="00455DEE"/>
    <w:rsid w:val="004617AD"/>
    <w:rsid w:val="00465697"/>
    <w:rsid w:val="004678CD"/>
    <w:rsid w:val="0047601C"/>
    <w:rsid w:val="00477B3B"/>
    <w:rsid w:val="00481B05"/>
    <w:rsid w:val="00491B1A"/>
    <w:rsid w:val="0049406B"/>
    <w:rsid w:val="004A5271"/>
    <w:rsid w:val="004A7A84"/>
    <w:rsid w:val="004B3BDB"/>
    <w:rsid w:val="004B592E"/>
    <w:rsid w:val="004B5BFF"/>
    <w:rsid w:val="004C0CF2"/>
    <w:rsid w:val="004C0F1E"/>
    <w:rsid w:val="004C1834"/>
    <w:rsid w:val="004C6E16"/>
    <w:rsid w:val="004D093C"/>
    <w:rsid w:val="004F08A2"/>
    <w:rsid w:val="004F0D2A"/>
    <w:rsid w:val="005148E6"/>
    <w:rsid w:val="00516433"/>
    <w:rsid w:val="0052094D"/>
    <w:rsid w:val="00521DB1"/>
    <w:rsid w:val="00531E60"/>
    <w:rsid w:val="00532D1A"/>
    <w:rsid w:val="005358DE"/>
    <w:rsid w:val="00540E53"/>
    <w:rsid w:val="0054384A"/>
    <w:rsid w:val="00544401"/>
    <w:rsid w:val="00546488"/>
    <w:rsid w:val="00547AAD"/>
    <w:rsid w:val="00547F98"/>
    <w:rsid w:val="00550576"/>
    <w:rsid w:val="005662FD"/>
    <w:rsid w:val="00566A6E"/>
    <w:rsid w:val="005674D6"/>
    <w:rsid w:val="005764F5"/>
    <w:rsid w:val="00580F62"/>
    <w:rsid w:val="00581D02"/>
    <w:rsid w:val="0058287D"/>
    <w:rsid w:val="00585E7D"/>
    <w:rsid w:val="00594029"/>
    <w:rsid w:val="00595337"/>
    <w:rsid w:val="00596FE5"/>
    <w:rsid w:val="005A0408"/>
    <w:rsid w:val="005A068F"/>
    <w:rsid w:val="005A15B5"/>
    <w:rsid w:val="005B1F57"/>
    <w:rsid w:val="005B4379"/>
    <w:rsid w:val="005B54F8"/>
    <w:rsid w:val="005C57A5"/>
    <w:rsid w:val="005C6C5F"/>
    <w:rsid w:val="005C762D"/>
    <w:rsid w:val="005D0261"/>
    <w:rsid w:val="005D0713"/>
    <w:rsid w:val="005D1560"/>
    <w:rsid w:val="005E30CE"/>
    <w:rsid w:val="005E395A"/>
    <w:rsid w:val="005F1380"/>
    <w:rsid w:val="005F28F9"/>
    <w:rsid w:val="005F3E3D"/>
    <w:rsid w:val="005F641F"/>
    <w:rsid w:val="00601C50"/>
    <w:rsid w:val="00601D50"/>
    <w:rsid w:val="006051CC"/>
    <w:rsid w:val="006065B1"/>
    <w:rsid w:val="00610AD1"/>
    <w:rsid w:val="006116EC"/>
    <w:rsid w:val="00613960"/>
    <w:rsid w:val="00613A13"/>
    <w:rsid w:val="0062142E"/>
    <w:rsid w:val="00624D33"/>
    <w:rsid w:val="006252A3"/>
    <w:rsid w:val="00625C53"/>
    <w:rsid w:val="00631696"/>
    <w:rsid w:val="00633995"/>
    <w:rsid w:val="006369A9"/>
    <w:rsid w:val="00641529"/>
    <w:rsid w:val="00642668"/>
    <w:rsid w:val="006437C6"/>
    <w:rsid w:val="0064424C"/>
    <w:rsid w:val="00645D43"/>
    <w:rsid w:val="00646188"/>
    <w:rsid w:val="006503CE"/>
    <w:rsid w:val="00653631"/>
    <w:rsid w:val="00653DB7"/>
    <w:rsid w:val="00656E8F"/>
    <w:rsid w:val="00660CFF"/>
    <w:rsid w:val="00661CA6"/>
    <w:rsid w:val="00664D45"/>
    <w:rsid w:val="006665E2"/>
    <w:rsid w:val="006670C7"/>
    <w:rsid w:val="00670479"/>
    <w:rsid w:val="00670626"/>
    <w:rsid w:val="0067155B"/>
    <w:rsid w:val="00672724"/>
    <w:rsid w:val="00673315"/>
    <w:rsid w:val="00674B60"/>
    <w:rsid w:val="00675660"/>
    <w:rsid w:val="00675CF5"/>
    <w:rsid w:val="00680EC0"/>
    <w:rsid w:val="00681257"/>
    <w:rsid w:val="00681F28"/>
    <w:rsid w:val="006839D9"/>
    <w:rsid w:val="00683A16"/>
    <w:rsid w:val="0068475B"/>
    <w:rsid w:val="006874C2"/>
    <w:rsid w:val="00687CDA"/>
    <w:rsid w:val="006929D1"/>
    <w:rsid w:val="006B1CBA"/>
    <w:rsid w:val="006B4215"/>
    <w:rsid w:val="006C1152"/>
    <w:rsid w:val="006C1C91"/>
    <w:rsid w:val="006C2E3B"/>
    <w:rsid w:val="006C53D2"/>
    <w:rsid w:val="006D0DB4"/>
    <w:rsid w:val="006D46A9"/>
    <w:rsid w:val="006D6032"/>
    <w:rsid w:val="006D6B91"/>
    <w:rsid w:val="006E3F3C"/>
    <w:rsid w:val="006F74FE"/>
    <w:rsid w:val="006F79E0"/>
    <w:rsid w:val="007071C4"/>
    <w:rsid w:val="007137BE"/>
    <w:rsid w:val="007221FA"/>
    <w:rsid w:val="00723C0D"/>
    <w:rsid w:val="00725F7B"/>
    <w:rsid w:val="00730499"/>
    <w:rsid w:val="00734D62"/>
    <w:rsid w:val="00745612"/>
    <w:rsid w:val="007462E5"/>
    <w:rsid w:val="007476FE"/>
    <w:rsid w:val="00747F31"/>
    <w:rsid w:val="007501E5"/>
    <w:rsid w:val="0075197B"/>
    <w:rsid w:val="00751A44"/>
    <w:rsid w:val="00752E09"/>
    <w:rsid w:val="0075338A"/>
    <w:rsid w:val="00766F3B"/>
    <w:rsid w:val="00770154"/>
    <w:rsid w:val="007766C8"/>
    <w:rsid w:val="00777202"/>
    <w:rsid w:val="0077725C"/>
    <w:rsid w:val="007833D4"/>
    <w:rsid w:val="007848A9"/>
    <w:rsid w:val="00785BB8"/>
    <w:rsid w:val="00790DFB"/>
    <w:rsid w:val="0079143A"/>
    <w:rsid w:val="00791AFC"/>
    <w:rsid w:val="0079372C"/>
    <w:rsid w:val="007945A7"/>
    <w:rsid w:val="00796FC1"/>
    <w:rsid w:val="007A1B15"/>
    <w:rsid w:val="007A2548"/>
    <w:rsid w:val="007A58E5"/>
    <w:rsid w:val="007B321B"/>
    <w:rsid w:val="007B7E17"/>
    <w:rsid w:val="007C18CB"/>
    <w:rsid w:val="007D20B1"/>
    <w:rsid w:val="007E0FF6"/>
    <w:rsid w:val="007E3044"/>
    <w:rsid w:val="007E6897"/>
    <w:rsid w:val="007E714B"/>
    <w:rsid w:val="007F0BFC"/>
    <w:rsid w:val="007F16B3"/>
    <w:rsid w:val="007F3EA2"/>
    <w:rsid w:val="007F4AAA"/>
    <w:rsid w:val="007F4E82"/>
    <w:rsid w:val="00802287"/>
    <w:rsid w:val="00810F7D"/>
    <w:rsid w:val="0081631E"/>
    <w:rsid w:val="00816ECD"/>
    <w:rsid w:val="00820F0B"/>
    <w:rsid w:val="00821A58"/>
    <w:rsid w:val="0082466E"/>
    <w:rsid w:val="00827CD5"/>
    <w:rsid w:val="00830899"/>
    <w:rsid w:val="0083296C"/>
    <w:rsid w:val="00834F46"/>
    <w:rsid w:val="0083605F"/>
    <w:rsid w:val="008360B4"/>
    <w:rsid w:val="00842EAE"/>
    <w:rsid w:val="008448EC"/>
    <w:rsid w:val="008477D5"/>
    <w:rsid w:val="008526E4"/>
    <w:rsid w:val="008531FE"/>
    <w:rsid w:val="00853EFF"/>
    <w:rsid w:val="00871779"/>
    <w:rsid w:val="008727F7"/>
    <w:rsid w:val="0087768E"/>
    <w:rsid w:val="00877B86"/>
    <w:rsid w:val="00881920"/>
    <w:rsid w:val="00881DA6"/>
    <w:rsid w:val="00883A27"/>
    <w:rsid w:val="00892072"/>
    <w:rsid w:val="008959FB"/>
    <w:rsid w:val="008A26D8"/>
    <w:rsid w:val="008A3514"/>
    <w:rsid w:val="008A4EDF"/>
    <w:rsid w:val="008B446E"/>
    <w:rsid w:val="008B4A55"/>
    <w:rsid w:val="008B4E09"/>
    <w:rsid w:val="008B7DCC"/>
    <w:rsid w:val="008C303C"/>
    <w:rsid w:val="008D0919"/>
    <w:rsid w:val="008D0FF0"/>
    <w:rsid w:val="008D4CAA"/>
    <w:rsid w:val="008D5248"/>
    <w:rsid w:val="008D635C"/>
    <w:rsid w:val="008D721F"/>
    <w:rsid w:val="008E23AE"/>
    <w:rsid w:val="008E3AE5"/>
    <w:rsid w:val="008E4EE4"/>
    <w:rsid w:val="008E561E"/>
    <w:rsid w:val="008E6817"/>
    <w:rsid w:val="008F2119"/>
    <w:rsid w:val="008F7EDE"/>
    <w:rsid w:val="00903137"/>
    <w:rsid w:val="00906CA0"/>
    <w:rsid w:val="0091223C"/>
    <w:rsid w:val="0091287C"/>
    <w:rsid w:val="0091469D"/>
    <w:rsid w:val="0091530A"/>
    <w:rsid w:val="00926EFB"/>
    <w:rsid w:val="0093222C"/>
    <w:rsid w:val="00934030"/>
    <w:rsid w:val="0093683F"/>
    <w:rsid w:val="00940E87"/>
    <w:rsid w:val="00941CD2"/>
    <w:rsid w:val="00942D06"/>
    <w:rsid w:val="009478C6"/>
    <w:rsid w:val="009538F1"/>
    <w:rsid w:val="0096013F"/>
    <w:rsid w:val="00962E89"/>
    <w:rsid w:val="009678BA"/>
    <w:rsid w:val="00970853"/>
    <w:rsid w:val="00971A49"/>
    <w:rsid w:val="00971BA3"/>
    <w:rsid w:val="00971D8E"/>
    <w:rsid w:val="009731F0"/>
    <w:rsid w:val="00975F36"/>
    <w:rsid w:val="009801CF"/>
    <w:rsid w:val="00980836"/>
    <w:rsid w:val="00980F33"/>
    <w:rsid w:val="0098111A"/>
    <w:rsid w:val="00983D88"/>
    <w:rsid w:val="009853FD"/>
    <w:rsid w:val="009864C6"/>
    <w:rsid w:val="00986AF4"/>
    <w:rsid w:val="009931D6"/>
    <w:rsid w:val="009A0174"/>
    <w:rsid w:val="009A6204"/>
    <w:rsid w:val="009B030F"/>
    <w:rsid w:val="009B159A"/>
    <w:rsid w:val="009B58CF"/>
    <w:rsid w:val="009B7103"/>
    <w:rsid w:val="009C5556"/>
    <w:rsid w:val="009D2445"/>
    <w:rsid w:val="009E0209"/>
    <w:rsid w:val="009E49BE"/>
    <w:rsid w:val="009E527B"/>
    <w:rsid w:val="009F4BD7"/>
    <w:rsid w:val="00A04E94"/>
    <w:rsid w:val="00A0583F"/>
    <w:rsid w:val="00A05B2E"/>
    <w:rsid w:val="00A13505"/>
    <w:rsid w:val="00A15F3A"/>
    <w:rsid w:val="00A35A83"/>
    <w:rsid w:val="00A36782"/>
    <w:rsid w:val="00A37028"/>
    <w:rsid w:val="00A4187B"/>
    <w:rsid w:val="00A41C9E"/>
    <w:rsid w:val="00A44063"/>
    <w:rsid w:val="00A504CE"/>
    <w:rsid w:val="00A52B75"/>
    <w:rsid w:val="00A53055"/>
    <w:rsid w:val="00A5357D"/>
    <w:rsid w:val="00A53BD7"/>
    <w:rsid w:val="00A55C73"/>
    <w:rsid w:val="00A56FC5"/>
    <w:rsid w:val="00A63CC2"/>
    <w:rsid w:val="00A67F2C"/>
    <w:rsid w:val="00A75AC7"/>
    <w:rsid w:val="00A8066C"/>
    <w:rsid w:val="00A80FEE"/>
    <w:rsid w:val="00A814D7"/>
    <w:rsid w:val="00A8206D"/>
    <w:rsid w:val="00A8223E"/>
    <w:rsid w:val="00A83CCF"/>
    <w:rsid w:val="00A84609"/>
    <w:rsid w:val="00A84E82"/>
    <w:rsid w:val="00A873BA"/>
    <w:rsid w:val="00A930F5"/>
    <w:rsid w:val="00A94426"/>
    <w:rsid w:val="00A95422"/>
    <w:rsid w:val="00AA1331"/>
    <w:rsid w:val="00AA466F"/>
    <w:rsid w:val="00AB0151"/>
    <w:rsid w:val="00AC1F18"/>
    <w:rsid w:val="00AC2D7D"/>
    <w:rsid w:val="00AC51D8"/>
    <w:rsid w:val="00AC531D"/>
    <w:rsid w:val="00AC6034"/>
    <w:rsid w:val="00AD0C3B"/>
    <w:rsid w:val="00AD462E"/>
    <w:rsid w:val="00AD7D4C"/>
    <w:rsid w:val="00AE7FDB"/>
    <w:rsid w:val="00AF1095"/>
    <w:rsid w:val="00AF23B5"/>
    <w:rsid w:val="00AF7FE1"/>
    <w:rsid w:val="00B03E95"/>
    <w:rsid w:val="00B07C93"/>
    <w:rsid w:val="00B10B96"/>
    <w:rsid w:val="00B1139F"/>
    <w:rsid w:val="00B13676"/>
    <w:rsid w:val="00B143EA"/>
    <w:rsid w:val="00B2062B"/>
    <w:rsid w:val="00B30710"/>
    <w:rsid w:val="00B309E7"/>
    <w:rsid w:val="00B30E43"/>
    <w:rsid w:val="00B32DBE"/>
    <w:rsid w:val="00B343F2"/>
    <w:rsid w:val="00B36DCA"/>
    <w:rsid w:val="00B401AB"/>
    <w:rsid w:val="00B453BD"/>
    <w:rsid w:val="00B51827"/>
    <w:rsid w:val="00B55A5C"/>
    <w:rsid w:val="00B60C86"/>
    <w:rsid w:val="00B636A2"/>
    <w:rsid w:val="00B656E3"/>
    <w:rsid w:val="00B7082C"/>
    <w:rsid w:val="00B713AE"/>
    <w:rsid w:val="00B7377F"/>
    <w:rsid w:val="00B74473"/>
    <w:rsid w:val="00B87E9A"/>
    <w:rsid w:val="00B92226"/>
    <w:rsid w:val="00B92C33"/>
    <w:rsid w:val="00B93B61"/>
    <w:rsid w:val="00B97795"/>
    <w:rsid w:val="00BA2893"/>
    <w:rsid w:val="00BA56F5"/>
    <w:rsid w:val="00BB07AA"/>
    <w:rsid w:val="00BB4E84"/>
    <w:rsid w:val="00BB71AE"/>
    <w:rsid w:val="00BC157C"/>
    <w:rsid w:val="00BC2A6A"/>
    <w:rsid w:val="00BC3042"/>
    <w:rsid w:val="00BC3A1E"/>
    <w:rsid w:val="00BC48B2"/>
    <w:rsid w:val="00BC57E8"/>
    <w:rsid w:val="00BD1704"/>
    <w:rsid w:val="00BD2A31"/>
    <w:rsid w:val="00BD5195"/>
    <w:rsid w:val="00BD5EBE"/>
    <w:rsid w:val="00BD5F05"/>
    <w:rsid w:val="00BD70FA"/>
    <w:rsid w:val="00BD75D6"/>
    <w:rsid w:val="00BE001D"/>
    <w:rsid w:val="00BE398A"/>
    <w:rsid w:val="00BE5813"/>
    <w:rsid w:val="00BE6160"/>
    <w:rsid w:val="00BE6F1A"/>
    <w:rsid w:val="00BE798F"/>
    <w:rsid w:val="00BF06C6"/>
    <w:rsid w:val="00BF1248"/>
    <w:rsid w:val="00BF1D51"/>
    <w:rsid w:val="00C00072"/>
    <w:rsid w:val="00C0085F"/>
    <w:rsid w:val="00C0313D"/>
    <w:rsid w:val="00C04746"/>
    <w:rsid w:val="00C11222"/>
    <w:rsid w:val="00C114BD"/>
    <w:rsid w:val="00C12245"/>
    <w:rsid w:val="00C12F35"/>
    <w:rsid w:val="00C12F7F"/>
    <w:rsid w:val="00C13505"/>
    <w:rsid w:val="00C37174"/>
    <w:rsid w:val="00C521A6"/>
    <w:rsid w:val="00C5630F"/>
    <w:rsid w:val="00C56D78"/>
    <w:rsid w:val="00C5792D"/>
    <w:rsid w:val="00C60833"/>
    <w:rsid w:val="00C63420"/>
    <w:rsid w:val="00C64625"/>
    <w:rsid w:val="00C647AE"/>
    <w:rsid w:val="00C65049"/>
    <w:rsid w:val="00C65CC7"/>
    <w:rsid w:val="00C66389"/>
    <w:rsid w:val="00C72AF1"/>
    <w:rsid w:val="00C75663"/>
    <w:rsid w:val="00C7723A"/>
    <w:rsid w:val="00C806AC"/>
    <w:rsid w:val="00C86E32"/>
    <w:rsid w:val="00C8790A"/>
    <w:rsid w:val="00C87A69"/>
    <w:rsid w:val="00C91CDF"/>
    <w:rsid w:val="00C9264D"/>
    <w:rsid w:val="00C956C7"/>
    <w:rsid w:val="00C95F62"/>
    <w:rsid w:val="00CA3A00"/>
    <w:rsid w:val="00CA4C18"/>
    <w:rsid w:val="00CB0A02"/>
    <w:rsid w:val="00CD2C50"/>
    <w:rsid w:val="00CD4B45"/>
    <w:rsid w:val="00CE574B"/>
    <w:rsid w:val="00CE5DD6"/>
    <w:rsid w:val="00CE7242"/>
    <w:rsid w:val="00D077E4"/>
    <w:rsid w:val="00D1562E"/>
    <w:rsid w:val="00D17C44"/>
    <w:rsid w:val="00D324A4"/>
    <w:rsid w:val="00D330D0"/>
    <w:rsid w:val="00D34BF8"/>
    <w:rsid w:val="00D37E17"/>
    <w:rsid w:val="00D41264"/>
    <w:rsid w:val="00D43705"/>
    <w:rsid w:val="00D5387C"/>
    <w:rsid w:val="00D546BA"/>
    <w:rsid w:val="00D608CD"/>
    <w:rsid w:val="00D634BA"/>
    <w:rsid w:val="00D66342"/>
    <w:rsid w:val="00D73A2E"/>
    <w:rsid w:val="00D73EB9"/>
    <w:rsid w:val="00D76ACE"/>
    <w:rsid w:val="00D839E9"/>
    <w:rsid w:val="00D875A2"/>
    <w:rsid w:val="00D87C0D"/>
    <w:rsid w:val="00D93A90"/>
    <w:rsid w:val="00D93F26"/>
    <w:rsid w:val="00D95B85"/>
    <w:rsid w:val="00D979D5"/>
    <w:rsid w:val="00DA0DB7"/>
    <w:rsid w:val="00DA2753"/>
    <w:rsid w:val="00DB50E3"/>
    <w:rsid w:val="00DB75E5"/>
    <w:rsid w:val="00DC04E7"/>
    <w:rsid w:val="00DC1B5E"/>
    <w:rsid w:val="00DC2669"/>
    <w:rsid w:val="00DC64EF"/>
    <w:rsid w:val="00DD5BCF"/>
    <w:rsid w:val="00DD5EAC"/>
    <w:rsid w:val="00DD5F59"/>
    <w:rsid w:val="00DE71F4"/>
    <w:rsid w:val="00DE735A"/>
    <w:rsid w:val="00DF1194"/>
    <w:rsid w:val="00DF5121"/>
    <w:rsid w:val="00DF796C"/>
    <w:rsid w:val="00E04F7D"/>
    <w:rsid w:val="00E17BB3"/>
    <w:rsid w:val="00E30B4E"/>
    <w:rsid w:val="00E31CB3"/>
    <w:rsid w:val="00E3243E"/>
    <w:rsid w:val="00E334E5"/>
    <w:rsid w:val="00E35695"/>
    <w:rsid w:val="00E37EC3"/>
    <w:rsid w:val="00E42E0B"/>
    <w:rsid w:val="00E455CD"/>
    <w:rsid w:val="00E46D5C"/>
    <w:rsid w:val="00E54DC7"/>
    <w:rsid w:val="00E574FE"/>
    <w:rsid w:val="00E57CB5"/>
    <w:rsid w:val="00E64B0C"/>
    <w:rsid w:val="00E653B2"/>
    <w:rsid w:val="00E67045"/>
    <w:rsid w:val="00E7339F"/>
    <w:rsid w:val="00E7685C"/>
    <w:rsid w:val="00E817EC"/>
    <w:rsid w:val="00E81A5C"/>
    <w:rsid w:val="00E84FD8"/>
    <w:rsid w:val="00E873B6"/>
    <w:rsid w:val="00E90A85"/>
    <w:rsid w:val="00E97005"/>
    <w:rsid w:val="00EA003E"/>
    <w:rsid w:val="00EA6989"/>
    <w:rsid w:val="00EB58A2"/>
    <w:rsid w:val="00EC1162"/>
    <w:rsid w:val="00EC24C5"/>
    <w:rsid w:val="00ED010F"/>
    <w:rsid w:val="00ED1C3F"/>
    <w:rsid w:val="00ED7824"/>
    <w:rsid w:val="00EE2E58"/>
    <w:rsid w:val="00EE635C"/>
    <w:rsid w:val="00EF06A5"/>
    <w:rsid w:val="00EF1E7E"/>
    <w:rsid w:val="00EF2ED1"/>
    <w:rsid w:val="00F007C0"/>
    <w:rsid w:val="00F04F13"/>
    <w:rsid w:val="00F10083"/>
    <w:rsid w:val="00F10EAC"/>
    <w:rsid w:val="00F17DFA"/>
    <w:rsid w:val="00F27653"/>
    <w:rsid w:val="00F31541"/>
    <w:rsid w:val="00F368BF"/>
    <w:rsid w:val="00F43151"/>
    <w:rsid w:val="00F47701"/>
    <w:rsid w:val="00F505DF"/>
    <w:rsid w:val="00F53A40"/>
    <w:rsid w:val="00F53C4A"/>
    <w:rsid w:val="00F544E0"/>
    <w:rsid w:val="00F54DEA"/>
    <w:rsid w:val="00F63287"/>
    <w:rsid w:val="00F6730B"/>
    <w:rsid w:val="00F67664"/>
    <w:rsid w:val="00F80A2B"/>
    <w:rsid w:val="00F81E6F"/>
    <w:rsid w:val="00F81FF2"/>
    <w:rsid w:val="00F83EDD"/>
    <w:rsid w:val="00F84268"/>
    <w:rsid w:val="00F86157"/>
    <w:rsid w:val="00F86A0D"/>
    <w:rsid w:val="00F90BBD"/>
    <w:rsid w:val="00F9277C"/>
    <w:rsid w:val="00F95ADE"/>
    <w:rsid w:val="00FA0737"/>
    <w:rsid w:val="00FA1ED9"/>
    <w:rsid w:val="00FB148A"/>
    <w:rsid w:val="00FB1926"/>
    <w:rsid w:val="00FB65EE"/>
    <w:rsid w:val="00FC62AB"/>
    <w:rsid w:val="00FC66E6"/>
    <w:rsid w:val="00FC7783"/>
    <w:rsid w:val="00FD079E"/>
    <w:rsid w:val="00FD54BA"/>
    <w:rsid w:val="00FD6E3C"/>
    <w:rsid w:val="00FD7512"/>
    <w:rsid w:val="00FE1BC7"/>
    <w:rsid w:val="00FE453D"/>
    <w:rsid w:val="00FE5C23"/>
    <w:rsid w:val="00FE757C"/>
    <w:rsid w:val="00FF21FD"/>
    <w:rsid w:val="00FF355C"/>
    <w:rsid w:val="00FF35CE"/>
    <w:rsid w:val="00FF3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F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17"/>
    <w:rPr>
      <w:rFonts w:ascii="Tahoma" w:hAnsi="Tahoma" w:cs="Tahoma"/>
      <w:sz w:val="16"/>
      <w:szCs w:val="16"/>
    </w:rPr>
  </w:style>
  <w:style w:type="character" w:customStyle="1" w:styleId="apple-converted-space">
    <w:name w:val="apple-converted-space"/>
    <w:basedOn w:val="DefaultParagraphFont"/>
    <w:rsid w:val="00275893"/>
  </w:style>
  <w:style w:type="character" w:styleId="Emphasis">
    <w:name w:val="Emphasis"/>
    <w:basedOn w:val="DefaultParagraphFont"/>
    <w:uiPriority w:val="20"/>
    <w:qFormat/>
    <w:rsid w:val="00275893"/>
    <w:rPr>
      <w:i/>
      <w:iCs/>
    </w:rPr>
  </w:style>
  <w:style w:type="table" w:styleId="TableGrid">
    <w:name w:val="Table Grid"/>
    <w:basedOn w:val="TableNormal"/>
    <w:uiPriority w:val="59"/>
    <w:rsid w:val="0023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031"/>
    <w:rPr>
      <w:sz w:val="16"/>
      <w:szCs w:val="16"/>
    </w:rPr>
  </w:style>
  <w:style w:type="paragraph" w:styleId="CommentText">
    <w:name w:val="annotation text"/>
    <w:basedOn w:val="Normal"/>
    <w:link w:val="CommentTextChar"/>
    <w:uiPriority w:val="99"/>
    <w:unhideWhenUsed/>
    <w:rsid w:val="00170031"/>
    <w:pPr>
      <w:spacing w:line="240" w:lineRule="auto"/>
    </w:pPr>
    <w:rPr>
      <w:sz w:val="20"/>
      <w:szCs w:val="20"/>
    </w:rPr>
  </w:style>
  <w:style w:type="character" w:customStyle="1" w:styleId="CommentTextChar">
    <w:name w:val="Comment Text Char"/>
    <w:basedOn w:val="DefaultParagraphFont"/>
    <w:link w:val="CommentText"/>
    <w:uiPriority w:val="99"/>
    <w:rsid w:val="00170031"/>
    <w:rPr>
      <w:sz w:val="20"/>
      <w:szCs w:val="20"/>
    </w:rPr>
  </w:style>
  <w:style w:type="paragraph" w:styleId="CommentSubject">
    <w:name w:val="annotation subject"/>
    <w:basedOn w:val="CommentText"/>
    <w:next w:val="CommentText"/>
    <w:link w:val="CommentSubjectChar"/>
    <w:uiPriority w:val="99"/>
    <w:semiHidden/>
    <w:unhideWhenUsed/>
    <w:rsid w:val="00170031"/>
    <w:rPr>
      <w:b/>
      <w:bCs/>
    </w:rPr>
  </w:style>
  <w:style w:type="character" w:customStyle="1" w:styleId="CommentSubjectChar">
    <w:name w:val="Comment Subject Char"/>
    <w:basedOn w:val="CommentTextChar"/>
    <w:link w:val="CommentSubject"/>
    <w:uiPriority w:val="99"/>
    <w:semiHidden/>
    <w:rsid w:val="00170031"/>
    <w:rPr>
      <w:b/>
      <w:bCs/>
      <w:sz w:val="20"/>
      <w:szCs w:val="20"/>
    </w:rPr>
  </w:style>
  <w:style w:type="paragraph" w:customStyle="1" w:styleId="Default">
    <w:name w:val="Default"/>
    <w:rsid w:val="001930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01E5"/>
    <w:pPr>
      <w:ind w:left="720"/>
      <w:contextualSpacing/>
    </w:pPr>
  </w:style>
  <w:style w:type="character" w:styleId="Hyperlink">
    <w:name w:val="Hyperlink"/>
    <w:basedOn w:val="DefaultParagraphFont"/>
    <w:uiPriority w:val="99"/>
    <w:unhideWhenUsed/>
    <w:rsid w:val="00A55C73"/>
    <w:rPr>
      <w:strike w:val="0"/>
      <w:dstrike w:val="0"/>
      <w:color w:val="4981C7"/>
      <w:u w:val="none"/>
      <w:effect w:val="none"/>
    </w:rPr>
  </w:style>
  <w:style w:type="paragraph" w:styleId="Header">
    <w:name w:val="header"/>
    <w:basedOn w:val="Normal"/>
    <w:link w:val="HeaderChar"/>
    <w:uiPriority w:val="99"/>
    <w:unhideWhenUsed/>
    <w:rsid w:val="008A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514"/>
  </w:style>
  <w:style w:type="paragraph" w:styleId="Footer">
    <w:name w:val="footer"/>
    <w:basedOn w:val="Normal"/>
    <w:link w:val="FooterChar"/>
    <w:uiPriority w:val="99"/>
    <w:unhideWhenUsed/>
    <w:rsid w:val="008A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514"/>
  </w:style>
  <w:style w:type="paragraph" w:styleId="Revision">
    <w:name w:val="Revision"/>
    <w:hidden/>
    <w:uiPriority w:val="99"/>
    <w:semiHidden/>
    <w:rsid w:val="00581D02"/>
    <w:pPr>
      <w:spacing w:after="0" w:line="240" w:lineRule="auto"/>
    </w:pPr>
  </w:style>
  <w:style w:type="character" w:styleId="Strong">
    <w:name w:val="Strong"/>
    <w:basedOn w:val="DefaultParagraphFont"/>
    <w:uiPriority w:val="22"/>
    <w:qFormat/>
    <w:rsid w:val="00FD6E3C"/>
    <w:rPr>
      <w:b/>
      <w:bCs/>
    </w:rPr>
  </w:style>
  <w:style w:type="character" w:styleId="FollowedHyperlink">
    <w:name w:val="FollowedHyperlink"/>
    <w:basedOn w:val="DefaultParagraphFont"/>
    <w:uiPriority w:val="99"/>
    <w:semiHidden/>
    <w:unhideWhenUsed/>
    <w:rsid w:val="00C650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17"/>
    <w:rPr>
      <w:rFonts w:ascii="Tahoma" w:hAnsi="Tahoma" w:cs="Tahoma"/>
      <w:sz w:val="16"/>
      <w:szCs w:val="16"/>
    </w:rPr>
  </w:style>
  <w:style w:type="character" w:customStyle="1" w:styleId="apple-converted-space">
    <w:name w:val="apple-converted-space"/>
    <w:basedOn w:val="DefaultParagraphFont"/>
    <w:rsid w:val="00275893"/>
  </w:style>
  <w:style w:type="character" w:styleId="Emphasis">
    <w:name w:val="Emphasis"/>
    <w:basedOn w:val="DefaultParagraphFont"/>
    <w:uiPriority w:val="20"/>
    <w:qFormat/>
    <w:rsid w:val="00275893"/>
    <w:rPr>
      <w:i/>
      <w:iCs/>
    </w:rPr>
  </w:style>
  <w:style w:type="table" w:styleId="TableGrid">
    <w:name w:val="Table Grid"/>
    <w:basedOn w:val="TableNormal"/>
    <w:uiPriority w:val="59"/>
    <w:rsid w:val="0023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031"/>
    <w:rPr>
      <w:sz w:val="16"/>
      <w:szCs w:val="16"/>
    </w:rPr>
  </w:style>
  <w:style w:type="paragraph" w:styleId="CommentText">
    <w:name w:val="annotation text"/>
    <w:basedOn w:val="Normal"/>
    <w:link w:val="CommentTextChar"/>
    <w:uiPriority w:val="99"/>
    <w:unhideWhenUsed/>
    <w:rsid w:val="00170031"/>
    <w:pPr>
      <w:spacing w:line="240" w:lineRule="auto"/>
    </w:pPr>
    <w:rPr>
      <w:sz w:val="20"/>
      <w:szCs w:val="20"/>
    </w:rPr>
  </w:style>
  <w:style w:type="character" w:customStyle="1" w:styleId="CommentTextChar">
    <w:name w:val="Comment Text Char"/>
    <w:basedOn w:val="DefaultParagraphFont"/>
    <w:link w:val="CommentText"/>
    <w:uiPriority w:val="99"/>
    <w:rsid w:val="00170031"/>
    <w:rPr>
      <w:sz w:val="20"/>
      <w:szCs w:val="20"/>
    </w:rPr>
  </w:style>
  <w:style w:type="paragraph" w:styleId="CommentSubject">
    <w:name w:val="annotation subject"/>
    <w:basedOn w:val="CommentText"/>
    <w:next w:val="CommentText"/>
    <w:link w:val="CommentSubjectChar"/>
    <w:uiPriority w:val="99"/>
    <w:semiHidden/>
    <w:unhideWhenUsed/>
    <w:rsid w:val="00170031"/>
    <w:rPr>
      <w:b/>
      <w:bCs/>
    </w:rPr>
  </w:style>
  <w:style w:type="character" w:customStyle="1" w:styleId="CommentSubjectChar">
    <w:name w:val="Comment Subject Char"/>
    <w:basedOn w:val="CommentTextChar"/>
    <w:link w:val="CommentSubject"/>
    <w:uiPriority w:val="99"/>
    <w:semiHidden/>
    <w:rsid w:val="00170031"/>
    <w:rPr>
      <w:b/>
      <w:bCs/>
      <w:sz w:val="20"/>
      <w:szCs w:val="20"/>
    </w:rPr>
  </w:style>
  <w:style w:type="paragraph" w:customStyle="1" w:styleId="Default">
    <w:name w:val="Default"/>
    <w:rsid w:val="001930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01E5"/>
    <w:pPr>
      <w:ind w:left="720"/>
      <w:contextualSpacing/>
    </w:pPr>
  </w:style>
  <w:style w:type="character" w:styleId="Hyperlink">
    <w:name w:val="Hyperlink"/>
    <w:basedOn w:val="DefaultParagraphFont"/>
    <w:uiPriority w:val="99"/>
    <w:unhideWhenUsed/>
    <w:rsid w:val="00A55C73"/>
    <w:rPr>
      <w:strike w:val="0"/>
      <w:dstrike w:val="0"/>
      <w:color w:val="4981C7"/>
      <w:u w:val="none"/>
      <w:effect w:val="none"/>
    </w:rPr>
  </w:style>
  <w:style w:type="paragraph" w:styleId="Header">
    <w:name w:val="header"/>
    <w:basedOn w:val="Normal"/>
    <w:link w:val="HeaderChar"/>
    <w:uiPriority w:val="99"/>
    <w:unhideWhenUsed/>
    <w:rsid w:val="008A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514"/>
  </w:style>
  <w:style w:type="paragraph" w:styleId="Footer">
    <w:name w:val="footer"/>
    <w:basedOn w:val="Normal"/>
    <w:link w:val="FooterChar"/>
    <w:uiPriority w:val="99"/>
    <w:unhideWhenUsed/>
    <w:rsid w:val="008A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514"/>
  </w:style>
  <w:style w:type="paragraph" w:styleId="Revision">
    <w:name w:val="Revision"/>
    <w:hidden/>
    <w:uiPriority w:val="99"/>
    <w:semiHidden/>
    <w:rsid w:val="00581D02"/>
    <w:pPr>
      <w:spacing w:after="0" w:line="240" w:lineRule="auto"/>
    </w:pPr>
  </w:style>
  <w:style w:type="character" w:styleId="Strong">
    <w:name w:val="Strong"/>
    <w:basedOn w:val="DefaultParagraphFont"/>
    <w:uiPriority w:val="22"/>
    <w:qFormat/>
    <w:rsid w:val="00FD6E3C"/>
    <w:rPr>
      <w:b/>
      <w:bCs/>
    </w:rPr>
  </w:style>
  <w:style w:type="character" w:styleId="FollowedHyperlink">
    <w:name w:val="FollowedHyperlink"/>
    <w:basedOn w:val="DefaultParagraphFont"/>
    <w:uiPriority w:val="99"/>
    <w:semiHidden/>
    <w:unhideWhenUsed/>
    <w:rsid w:val="00C65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9827">
      <w:bodyDiv w:val="1"/>
      <w:marLeft w:val="0"/>
      <w:marRight w:val="0"/>
      <w:marTop w:val="0"/>
      <w:marBottom w:val="0"/>
      <w:divBdr>
        <w:top w:val="none" w:sz="0" w:space="0" w:color="auto"/>
        <w:left w:val="none" w:sz="0" w:space="0" w:color="auto"/>
        <w:bottom w:val="none" w:sz="0" w:space="0" w:color="auto"/>
        <w:right w:val="none" w:sz="0" w:space="0" w:color="auto"/>
      </w:divBdr>
    </w:div>
    <w:div w:id="1259677410">
      <w:bodyDiv w:val="1"/>
      <w:marLeft w:val="0"/>
      <w:marRight w:val="0"/>
      <w:marTop w:val="0"/>
      <w:marBottom w:val="0"/>
      <w:divBdr>
        <w:top w:val="none" w:sz="0" w:space="0" w:color="auto"/>
        <w:left w:val="none" w:sz="0" w:space="0" w:color="auto"/>
        <w:bottom w:val="none" w:sz="0" w:space="0" w:color="auto"/>
        <w:right w:val="none" w:sz="0" w:space="0" w:color="auto"/>
      </w:divBdr>
    </w:div>
    <w:div w:id="1348096643">
      <w:bodyDiv w:val="1"/>
      <w:marLeft w:val="0"/>
      <w:marRight w:val="0"/>
      <w:marTop w:val="0"/>
      <w:marBottom w:val="0"/>
      <w:divBdr>
        <w:top w:val="none" w:sz="0" w:space="0" w:color="auto"/>
        <w:left w:val="none" w:sz="0" w:space="0" w:color="auto"/>
        <w:bottom w:val="none" w:sz="0" w:space="0" w:color="auto"/>
        <w:right w:val="none" w:sz="0" w:space="0" w:color="auto"/>
      </w:divBdr>
    </w:div>
    <w:div w:id="1786651425">
      <w:bodyDiv w:val="1"/>
      <w:marLeft w:val="0"/>
      <w:marRight w:val="0"/>
      <w:marTop w:val="0"/>
      <w:marBottom w:val="0"/>
      <w:divBdr>
        <w:top w:val="none" w:sz="0" w:space="0" w:color="auto"/>
        <w:left w:val="none" w:sz="0" w:space="0" w:color="auto"/>
        <w:bottom w:val="none" w:sz="0" w:space="0" w:color="auto"/>
        <w:right w:val="none" w:sz="0" w:space="0" w:color="auto"/>
      </w:divBdr>
    </w:div>
    <w:div w:id="19440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303033/CoP_-_Apr_14_V0_6.pdf" TargetMode="External"/><Relationship Id="rId18" Type="http://schemas.openxmlformats.org/officeDocument/2006/relationships/hyperlink" Target="https://www.gov.uk/government/uploads/system/uploads/attachment_data/file/257241/mac-repor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uploads/system/uploads/attachment_data/file/257273/Tier2-codesofpractise.pdf" TargetMode="External"/><Relationship Id="rId7" Type="http://schemas.openxmlformats.org/officeDocument/2006/relationships/footnotes" Target="footnotes.xml"/><Relationship Id="rId12" Type="http://schemas.openxmlformats.org/officeDocument/2006/relationships/hyperlink" Target="http://www.parliament.uk/business/publications/written-questions-answers-statements/written-statement/Commons/2016-03-24/HCWS660/" TargetMode="External"/><Relationship Id="rId17" Type="http://schemas.openxmlformats.org/officeDocument/2006/relationships/hyperlink" Target="https://www.gov.uk/government/uploads/system/uploads/attachment_data/file/257273/Tier2-codesofpractis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uk/business/publications/written-questions-answers-statements/written-statement/Commons/2016-03-24/HCWS66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uploads/system/uploads/attachment_data/file/486107/Shortage_Occupation_List_-_November_2015.pdf" TargetMode="External"/><Relationship Id="rId23" Type="http://schemas.openxmlformats.org/officeDocument/2006/relationships/hyperlink" Target="http://www.migrationobservatory.ox.ac.uk/commentary/pulling-power-why-are-eu-citizens-migrating-uk" TargetMode="External"/><Relationship Id="rId10" Type="http://schemas.openxmlformats.org/officeDocument/2006/relationships/hyperlink" Target="http://www.ons.gov.uk/file?uri=/peoplepopulationandcommunity/populationandmigration/internationalmigration/datasets/migrationstatisticsquarterlyreportprovisionallongterminternationalmigrationltimestimates/current/provisionalestimatesoflongterminternationalmigrationyeseptember2015.xls" TargetMode="External"/><Relationship Id="rId19" Type="http://schemas.openxmlformats.org/officeDocument/2006/relationships/hyperlink" Target="https://www.researchonline.org.uk/sds/search/download.do%3Bjsessionid=B8F5D490363B64052BC2400530827BDB?ref=B13276" TargetMode="External"/><Relationship Id="rId4" Type="http://schemas.microsoft.com/office/2007/relationships/stylesWithEffects" Target="stylesWithEffects.xml"/><Relationship Id="rId9" Type="http://schemas.openxmlformats.org/officeDocument/2006/relationships/hyperlink" Target="http://www.cpc.ac.uk/publications/cpc_briefing_papers/pdf/BP28_How%20to%20forecast%20international%20migration.pdf" TargetMode="External"/><Relationship Id="rId14" Type="http://schemas.openxmlformats.org/officeDocument/2006/relationships/hyperlink" Target="https://www.gov.uk/government/uploads/system/uploads/attachment_data/file/257273/Tier2-codesofpractise.pdf"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deleine\Dropbox\COMPAS\Projects\EU%20referendum\JRCT%20I%20skills%20briefing\Version%20post%20Martin\FT%20skills%20report%20-%20FINAL%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deleine\Dropbox\COMPAS\Projects\EU%20referendum\JRCT%20I%20skills%20briefing\Version%20post%20Martin\DATA%20to%20send%20F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deleine\Dropbox\COMPAS\Projects\EU%20referendum\JRCT%20I%20skills%20briefing\Version%20post%20Martin\DATA%20to%20send%20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 1 - occupation threshold'!$B$2</c:f>
              <c:strCache>
                <c:ptCount val="1"/>
                <c:pt idx="0">
                  <c:v>Graduate job paying £20,000+</c:v>
                </c:pt>
              </c:strCache>
            </c:strRef>
          </c:tx>
          <c:invertIfNegative val="0"/>
          <c:cat>
            <c:strRef>
              <c:f>'Figure 1 - occupation threshold'!$A$3:$A$7</c:f>
              <c:strCache>
                <c:ptCount val="5"/>
                <c:pt idx="0">
                  <c:v>All occupations</c:v>
                </c:pt>
                <c:pt idx="1">
                  <c:v>Managers, Directors &amp; Senior</c:v>
                </c:pt>
                <c:pt idx="2">
                  <c:v>Professional</c:v>
                </c:pt>
                <c:pt idx="3">
                  <c:v>Associate Prof. &amp; Technical</c:v>
                </c:pt>
                <c:pt idx="4">
                  <c:v>All others</c:v>
                </c:pt>
              </c:strCache>
            </c:strRef>
          </c:cat>
          <c:val>
            <c:numRef>
              <c:f>'Figure 1 - occupation threshold'!$B$3:$B$7</c:f>
              <c:numCache>
                <c:formatCode>0</c:formatCode>
                <c:ptCount val="5"/>
                <c:pt idx="0">
                  <c:v>25</c:v>
                </c:pt>
                <c:pt idx="1">
                  <c:v>55</c:v>
                </c:pt>
                <c:pt idx="2">
                  <c:v>85</c:v>
                </c:pt>
                <c:pt idx="3">
                  <c:v>20</c:v>
                </c:pt>
                <c:pt idx="4">
                  <c:v>0</c:v>
                </c:pt>
              </c:numCache>
            </c:numRef>
          </c:val>
        </c:ser>
        <c:ser>
          <c:idx val="1"/>
          <c:order val="1"/>
          <c:tx>
            <c:strRef>
              <c:f>'Figure 1 - occupation threshold'!$C$2</c:f>
              <c:strCache>
                <c:ptCount val="1"/>
                <c:pt idx="0">
                  <c:v>Graduate job paying £30,000+</c:v>
                </c:pt>
              </c:strCache>
            </c:strRef>
          </c:tx>
          <c:invertIfNegative val="0"/>
          <c:cat>
            <c:strRef>
              <c:f>'Figure 1 - occupation threshold'!$A$3:$A$7</c:f>
              <c:strCache>
                <c:ptCount val="5"/>
                <c:pt idx="0">
                  <c:v>All occupations</c:v>
                </c:pt>
                <c:pt idx="1">
                  <c:v>Managers, Directors &amp; Senior</c:v>
                </c:pt>
                <c:pt idx="2">
                  <c:v>Professional</c:v>
                </c:pt>
                <c:pt idx="3">
                  <c:v>Associate Prof. &amp; Technical</c:v>
                </c:pt>
                <c:pt idx="4">
                  <c:v>All others</c:v>
                </c:pt>
              </c:strCache>
            </c:strRef>
          </c:cat>
          <c:val>
            <c:numRef>
              <c:f>'Figure 1 - occupation threshold'!$C$3:$C$7</c:f>
              <c:numCache>
                <c:formatCode>0</c:formatCode>
                <c:ptCount val="5"/>
                <c:pt idx="0">
                  <c:v>19</c:v>
                </c:pt>
                <c:pt idx="1">
                  <c:v>47</c:v>
                </c:pt>
                <c:pt idx="2">
                  <c:v>60</c:v>
                </c:pt>
                <c:pt idx="3">
                  <c:v>16</c:v>
                </c:pt>
                <c:pt idx="4">
                  <c:v>0</c:v>
                </c:pt>
              </c:numCache>
            </c:numRef>
          </c:val>
        </c:ser>
        <c:dLbls>
          <c:showLegendKey val="0"/>
          <c:showVal val="0"/>
          <c:showCatName val="0"/>
          <c:showSerName val="0"/>
          <c:showPercent val="0"/>
          <c:showBubbleSize val="0"/>
        </c:dLbls>
        <c:gapWidth val="150"/>
        <c:axId val="179699712"/>
        <c:axId val="236783872"/>
      </c:barChart>
      <c:catAx>
        <c:axId val="179699712"/>
        <c:scaling>
          <c:orientation val="minMax"/>
        </c:scaling>
        <c:delete val="0"/>
        <c:axPos val="b"/>
        <c:numFmt formatCode="#,##0" sourceLinked="1"/>
        <c:majorTickMark val="out"/>
        <c:minorTickMark val="none"/>
        <c:tickLblPos val="nextTo"/>
        <c:crossAx val="236783872"/>
        <c:crosses val="autoZero"/>
        <c:auto val="1"/>
        <c:lblAlgn val="ctr"/>
        <c:lblOffset val="100"/>
        <c:noMultiLvlLbl val="0"/>
      </c:catAx>
      <c:valAx>
        <c:axId val="236783872"/>
        <c:scaling>
          <c:orientation val="minMax"/>
        </c:scaling>
        <c:delete val="0"/>
        <c:axPos val="l"/>
        <c:title>
          <c:tx>
            <c:rich>
              <a:bodyPr rot="-5400000" vert="horz"/>
              <a:lstStyle/>
              <a:p>
                <a:pPr>
                  <a:defRPr/>
                </a:pPr>
                <a:r>
                  <a:rPr lang="en-US"/>
                  <a:t>Percent</a:t>
                </a:r>
              </a:p>
            </c:rich>
          </c:tx>
          <c:overlay val="0"/>
        </c:title>
        <c:numFmt formatCode="0" sourceLinked="1"/>
        <c:majorTickMark val="out"/>
        <c:minorTickMark val="none"/>
        <c:tickLblPos val="nextTo"/>
        <c:crossAx val="17969971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'Industry threshold'!$B$2</c:f>
              <c:strCache>
                <c:ptCount val="1"/>
                <c:pt idx="0">
                  <c:v>Graduate job paying £20,000+</c:v>
                </c:pt>
              </c:strCache>
            </c:strRef>
          </c:tx>
          <c:invertIfNegative val="0"/>
          <c:cat>
            <c:strRef>
              <c:f>'Industry threshold'!$A$3:$A$12</c:f>
              <c:strCache>
                <c:ptCount val="10"/>
                <c:pt idx="0">
                  <c:v>Banking &amp; finance</c:v>
                </c:pt>
                <c:pt idx="1">
                  <c:v>Public ad, edu &amp; health</c:v>
                </c:pt>
                <c:pt idx="2">
                  <c:v>Trans &amp; comm</c:v>
                </c:pt>
                <c:pt idx="3">
                  <c:v>Energy &amp; water</c:v>
                </c:pt>
                <c:pt idx="4">
                  <c:v>All</c:v>
                </c:pt>
                <c:pt idx="5">
                  <c:v>Construction</c:v>
                </c:pt>
                <c:pt idx="6">
                  <c:v>Manufacturing</c:v>
                </c:pt>
                <c:pt idx="7">
                  <c:v>Other services</c:v>
                </c:pt>
                <c:pt idx="8">
                  <c:v>Dist, hotels &amp; rest</c:v>
                </c:pt>
                <c:pt idx="9">
                  <c:v>Agri, forest &amp; fishing</c:v>
                </c:pt>
              </c:strCache>
            </c:strRef>
          </c:cat>
          <c:val>
            <c:numRef>
              <c:f>'Industry threshold'!$B$3:$B$12</c:f>
              <c:numCache>
                <c:formatCode>0</c:formatCode>
                <c:ptCount val="10"/>
                <c:pt idx="0">
                  <c:v>34</c:v>
                </c:pt>
                <c:pt idx="1">
                  <c:v>33</c:v>
                </c:pt>
                <c:pt idx="2">
                  <c:v>31</c:v>
                </c:pt>
                <c:pt idx="3" formatCode="General">
                  <c:v>25</c:v>
                </c:pt>
                <c:pt idx="4">
                  <c:v>25</c:v>
                </c:pt>
                <c:pt idx="5">
                  <c:v>24</c:v>
                </c:pt>
                <c:pt idx="6">
                  <c:v>24</c:v>
                </c:pt>
                <c:pt idx="7">
                  <c:v>15</c:v>
                </c:pt>
                <c:pt idx="8">
                  <c:v>6</c:v>
                </c:pt>
                <c:pt idx="9" formatCode="General">
                  <c:v>4</c:v>
                </c:pt>
              </c:numCache>
            </c:numRef>
          </c:val>
        </c:ser>
        <c:ser>
          <c:idx val="1"/>
          <c:order val="1"/>
          <c:tx>
            <c:strRef>
              <c:f>'Industry threshold'!$C$2</c:f>
              <c:strCache>
                <c:ptCount val="1"/>
                <c:pt idx="0">
                  <c:v>Graduate job paying £30,000+</c:v>
                </c:pt>
              </c:strCache>
            </c:strRef>
          </c:tx>
          <c:invertIfNegative val="0"/>
          <c:cat>
            <c:strRef>
              <c:f>'Industry threshold'!$A$3:$A$12</c:f>
              <c:strCache>
                <c:ptCount val="10"/>
                <c:pt idx="0">
                  <c:v>Banking &amp; finance</c:v>
                </c:pt>
                <c:pt idx="1">
                  <c:v>Public ad, edu &amp; health</c:v>
                </c:pt>
                <c:pt idx="2">
                  <c:v>Trans &amp; comm</c:v>
                </c:pt>
                <c:pt idx="3">
                  <c:v>Energy &amp; water</c:v>
                </c:pt>
                <c:pt idx="4">
                  <c:v>All</c:v>
                </c:pt>
                <c:pt idx="5">
                  <c:v>Construction</c:v>
                </c:pt>
                <c:pt idx="6">
                  <c:v>Manufacturing</c:v>
                </c:pt>
                <c:pt idx="7">
                  <c:v>Other services</c:v>
                </c:pt>
                <c:pt idx="8">
                  <c:v>Dist, hotels &amp; rest</c:v>
                </c:pt>
                <c:pt idx="9">
                  <c:v>Agri, forest &amp; fishing</c:v>
                </c:pt>
              </c:strCache>
            </c:strRef>
          </c:cat>
          <c:val>
            <c:numRef>
              <c:f>'Industry threshold'!$C$3:$C$12</c:f>
              <c:numCache>
                <c:formatCode>0</c:formatCode>
                <c:ptCount val="10"/>
                <c:pt idx="0">
                  <c:v>28</c:v>
                </c:pt>
                <c:pt idx="1">
                  <c:v>22</c:v>
                </c:pt>
                <c:pt idx="2">
                  <c:v>26</c:v>
                </c:pt>
                <c:pt idx="3" formatCode="General">
                  <c:v>25</c:v>
                </c:pt>
                <c:pt idx="4">
                  <c:v>19</c:v>
                </c:pt>
                <c:pt idx="5">
                  <c:v>20</c:v>
                </c:pt>
                <c:pt idx="6">
                  <c:v>19</c:v>
                </c:pt>
                <c:pt idx="7">
                  <c:v>10</c:v>
                </c:pt>
                <c:pt idx="8">
                  <c:v>4</c:v>
                </c:pt>
                <c:pt idx="9" formatCode="General">
                  <c:v>4</c:v>
                </c:pt>
              </c:numCache>
            </c:numRef>
          </c:val>
        </c:ser>
        <c:dLbls>
          <c:showLegendKey val="0"/>
          <c:showVal val="0"/>
          <c:showCatName val="0"/>
          <c:showSerName val="0"/>
          <c:showPercent val="0"/>
          <c:showBubbleSize val="0"/>
        </c:dLbls>
        <c:gapWidth val="150"/>
        <c:axId val="182316032"/>
        <c:axId val="236785600"/>
      </c:barChart>
      <c:catAx>
        <c:axId val="182316032"/>
        <c:scaling>
          <c:orientation val="minMax"/>
        </c:scaling>
        <c:delete val="0"/>
        <c:axPos val="b"/>
        <c:numFmt formatCode="#,##0" sourceLinked="1"/>
        <c:majorTickMark val="out"/>
        <c:minorTickMark val="none"/>
        <c:tickLblPos val="nextTo"/>
        <c:txPr>
          <a:bodyPr rot="-5400000" vert="horz" anchor="ctr" anchorCtr="0"/>
          <a:lstStyle/>
          <a:p>
            <a:pPr>
              <a:defRPr/>
            </a:pPr>
            <a:endParaRPr lang="en-US"/>
          </a:p>
        </c:txPr>
        <c:crossAx val="236785600"/>
        <c:crosses val="autoZero"/>
        <c:auto val="1"/>
        <c:lblAlgn val="ctr"/>
        <c:lblOffset val="100"/>
        <c:noMultiLvlLbl val="0"/>
      </c:catAx>
      <c:valAx>
        <c:axId val="236785600"/>
        <c:scaling>
          <c:orientation val="minMax"/>
          <c:max val="50"/>
        </c:scaling>
        <c:delete val="0"/>
        <c:axPos val="l"/>
        <c:title>
          <c:tx>
            <c:rich>
              <a:bodyPr rot="-5400000" vert="horz"/>
              <a:lstStyle/>
              <a:p>
                <a:pPr>
                  <a:defRPr/>
                </a:pPr>
                <a:r>
                  <a:rPr lang="en-US" sz="1000" b="1" i="0" baseline="0">
                    <a:effectLst/>
                    <a:latin typeface="+mn-lt"/>
                  </a:rPr>
                  <a:t>Percent </a:t>
                </a:r>
                <a:endParaRPr lang="en-GB" sz="1000">
                  <a:effectLst/>
                  <a:latin typeface="+mn-lt"/>
                </a:endParaRPr>
              </a:p>
            </c:rich>
          </c:tx>
          <c:overlay val="0"/>
        </c:title>
        <c:numFmt formatCode="0" sourceLinked="1"/>
        <c:majorTickMark val="out"/>
        <c:minorTickMark val="none"/>
        <c:tickLblPos val="nextTo"/>
        <c:crossAx val="18231603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'Regional threshold'!$B$2</c:f>
              <c:strCache>
                <c:ptCount val="1"/>
                <c:pt idx="0">
                  <c:v>Graduate job paying £20,000+</c:v>
                </c:pt>
              </c:strCache>
            </c:strRef>
          </c:tx>
          <c:invertIfNegative val="0"/>
          <c:cat>
            <c:strRef>
              <c:f>'Regional threshold'!$A$3:$A$15</c:f>
              <c:strCache>
                <c:ptCount val="13"/>
                <c:pt idx="0">
                  <c:v>London</c:v>
                </c:pt>
                <c:pt idx="1">
                  <c:v>S. East</c:v>
                </c:pt>
                <c:pt idx="2">
                  <c:v>All</c:v>
                </c:pt>
                <c:pt idx="3">
                  <c:v>Eastern</c:v>
                </c:pt>
                <c:pt idx="4">
                  <c:v>S. West</c:v>
                </c:pt>
                <c:pt idx="5">
                  <c:v>Scotland</c:v>
                </c:pt>
                <c:pt idx="6">
                  <c:v>E. Midlands</c:v>
                </c:pt>
                <c:pt idx="7">
                  <c:v>W. Midlands</c:v>
                </c:pt>
                <c:pt idx="8">
                  <c:v>York</c:v>
                </c:pt>
                <c:pt idx="9">
                  <c:v>N. Ireland</c:v>
                </c:pt>
                <c:pt idx="10">
                  <c:v>N. West</c:v>
                </c:pt>
                <c:pt idx="11">
                  <c:v>Wales</c:v>
                </c:pt>
                <c:pt idx="12">
                  <c:v>N. East</c:v>
                </c:pt>
              </c:strCache>
            </c:strRef>
          </c:cat>
          <c:val>
            <c:numRef>
              <c:f>'Regional threshold'!$B$3:$B$15</c:f>
              <c:numCache>
                <c:formatCode>0</c:formatCode>
                <c:ptCount val="13"/>
                <c:pt idx="0">
                  <c:v>34</c:v>
                </c:pt>
                <c:pt idx="1">
                  <c:v>30</c:v>
                </c:pt>
                <c:pt idx="2">
                  <c:v>25</c:v>
                </c:pt>
                <c:pt idx="3">
                  <c:v>25</c:v>
                </c:pt>
                <c:pt idx="4">
                  <c:v>24</c:v>
                </c:pt>
                <c:pt idx="5">
                  <c:v>23</c:v>
                </c:pt>
                <c:pt idx="6">
                  <c:v>23</c:v>
                </c:pt>
                <c:pt idx="7">
                  <c:v>23</c:v>
                </c:pt>
                <c:pt idx="8">
                  <c:v>22</c:v>
                </c:pt>
                <c:pt idx="9">
                  <c:v>22</c:v>
                </c:pt>
                <c:pt idx="10">
                  <c:v>22</c:v>
                </c:pt>
                <c:pt idx="11">
                  <c:v>21</c:v>
                </c:pt>
                <c:pt idx="12" formatCode="General">
                  <c:v>18</c:v>
                </c:pt>
              </c:numCache>
            </c:numRef>
          </c:val>
        </c:ser>
        <c:ser>
          <c:idx val="1"/>
          <c:order val="1"/>
          <c:tx>
            <c:strRef>
              <c:f>'Regional threshold'!$C$2</c:f>
              <c:strCache>
                <c:ptCount val="1"/>
                <c:pt idx="0">
                  <c:v>Graduate job paying £30,000+</c:v>
                </c:pt>
              </c:strCache>
            </c:strRef>
          </c:tx>
          <c:invertIfNegative val="0"/>
          <c:cat>
            <c:strRef>
              <c:f>'Regional threshold'!$A$3:$A$15</c:f>
              <c:strCache>
                <c:ptCount val="13"/>
                <c:pt idx="0">
                  <c:v>London</c:v>
                </c:pt>
                <c:pt idx="1">
                  <c:v>S. East</c:v>
                </c:pt>
                <c:pt idx="2">
                  <c:v>All</c:v>
                </c:pt>
                <c:pt idx="3">
                  <c:v>Eastern</c:v>
                </c:pt>
                <c:pt idx="4">
                  <c:v>S. West</c:v>
                </c:pt>
                <c:pt idx="5">
                  <c:v>Scotland</c:v>
                </c:pt>
                <c:pt idx="6">
                  <c:v>E. Midlands</c:v>
                </c:pt>
                <c:pt idx="7">
                  <c:v>W. Midlands</c:v>
                </c:pt>
                <c:pt idx="8">
                  <c:v>York</c:v>
                </c:pt>
                <c:pt idx="9">
                  <c:v>N. Ireland</c:v>
                </c:pt>
                <c:pt idx="10">
                  <c:v>N. West</c:v>
                </c:pt>
                <c:pt idx="11">
                  <c:v>Wales</c:v>
                </c:pt>
                <c:pt idx="12">
                  <c:v>N. East</c:v>
                </c:pt>
              </c:strCache>
            </c:strRef>
          </c:cat>
          <c:val>
            <c:numRef>
              <c:f>'Regional threshold'!$C$3:$C$15</c:f>
              <c:numCache>
                <c:formatCode>0</c:formatCode>
                <c:ptCount val="13"/>
                <c:pt idx="0">
                  <c:v>29</c:v>
                </c:pt>
                <c:pt idx="1">
                  <c:v>23</c:v>
                </c:pt>
                <c:pt idx="2">
                  <c:v>19</c:v>
                </c:pt>
                <c:pt idx="3">
                  <c:v>19</c:v>
                </c:pt>
                <c:pt idx="4">
                  <c:v>17</c:v>
                </c:pt>
                <c:pt idx="5">
                  <c:v>17</c:v>
                </c:pt>
                <c:pt idx="6">
                  <c:v>17</c:v>
                </c:pt>
                <c:pt idx="7">
                  <c:v>16</c:v>
                </c:pt>
                <c:pt idx="8">
                  <c:v>15</c:v>
                </c:pt>
                <c:pt idx="9">
                  <c:v>15</c:v>
                </c:pt>
                <c:pt idx="10">
                  <c:v>15</c:v>
                </c:pt>
                <c:pt idx="11">
                  <c:v>15</c:v>
                </c:pt>
                <c:pt idx="12" formatCode="General">
                  <c:v>12</c:v>
                </c:pt>
              </c:numCache>
            </c:numRef>
          </c:val>
        </c:ser>
        <c:dLbls>
          <c:showLegendKey val="0"/>
          <c:showVal val="0"/>
          <c:showCatName val="0"/>
          <c:showSerName val="0"/>
          <c:showPercent val="0"/>
          <c:showBubbleSize val="0"/>
        </c:dLbls>
        <c:gapWidth val="150"/>
        <c:axId val="179702272"/>
        <c:axId val="236782144"/>
      </c:barChart>
      <c:catAx>
        <c:axId val="179702272"/>
        <c:scaling>
          <c:orientation val="minMax"/>
        </c:scaling>
        <c:delete val="0"/>
        <c:axPos val="b"/>
        <c:numFmt formatCode="#,##0" sourceLinked="1"/>
        <c:majorTickMark val="out"/>
        <c:minorTickMark val="none"/>
        <c:tickLblPos val="nextTo"/>
        <c:txPr>
          <a:bodyPr rot="-5400000" vert="horz"/>
          <a:lstStyle/>
          <a:p>
            <a:pPr>
              <a:defRPr/>
            </a:pPr>
            <a:endParaRPr lang="en-US"/>
          </a:p>
        </c:txPr>
        <c:crossAx val="236782144"/>
        <c:crosses val="autoZero"/>
        <c:auto val="1"/>
        <c:lblAlgn val="ctr"/>
        <c:lblOffset val="100"/>
        <c:noMultiLvlLbl val="0"/>
      </c:catAx>
      <c:valAx>
        <c:axId val="236782144"/>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effectLst/>
                    <a:latin typeface="+mn-lt"/>
                  </a:rPr>
                  <a:t>Percent</a:t>
                </a:r>
                <a:endParaRPr lang="en-GB" sz="1000">
                  <a:effectLst/>
                  <a:latin typeface="+mn-lt"/>
                </a:endParaRPr>
              </a:p>
            </c:rich>
          </c:tx>
          <c:overlay val="0"/>
        </c:title>
        <c:numFmt formatCode="0" sourceLinked="1"/>
        <c:majorTickMark val="out"/>
        <c:minorTickMark val="none"/>
        <c:tickLblPos val="nextTo"/>
        <c:crossAx val="17970227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307B-1AD5-4082-AE13-FDD122E1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Vargas-Silva</dc:creator>
  <cp:lastModifiedBy>Madeleine Sumption</cp:lastModifiedBy>
  <cp:revision>16</cp:revision>
  <cp:lastPrinted>2016-04-29T15:22:00Z</cp:lastPrinted>
  <dcterms:created xsi:type="dcterms:W3CDTF">2016-05-04T12:06:00Z</dcterms:created>
  <dcterms:modified xsi:type="dcterms:W3CDTF">2016-05-04T14:14:00Z</dcterms:modified>
</cp:coreProperties>
</file>